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252D23">
      <w:pPr>
        <w:jc w:val="center"/>
        <w:rPr>
          <w:rFonts w:ascii="宋体" w:hAnsi="宋体"/>
          <w:b/>
          <w:sz w:val="28"/>
          <w:szCs w:val="28"/>
        </w:rPr>
      </w:pPr>
      <w:r>
        <w:rPr>
          <w:rFonts w:ascii="宋体" w:hAnsi="宋体"/>
          <w:bCs/>
          <w:sz w:val="28"/>
          <w:szCs w:val="28"/>
        </w:rPr>
        <w:t xml:space="preserve">      </w:t>
      </w:r>
    </w:p>
    <w:p w14:paraId="32284E56">
      <w:pPr>
        <w:jc w:val="center"/>
        <w:rPr>
          <w:rFonts w:ascii="宋体" w:hAnsi="宋体"/>
          <w:b/>
          <w:sz w:val="28"/>
          <w:szCs w:val="28"/>
        </w:rPr>
      </w:pPr>
    </w:p>
    <w:p w14:paraId="11EF387C">
      <w:pPr>
        <w:jc w:val="center"/>
        <w:rPr>
          <w:rFonts w:ascii="宋体" w:hAnsi="宋体"/>
          <w:b/>
          <w:sz w:val="28"/>
          <w:szCs w:val="28"/>
        </w:rPr>
      </w:pPr>
    </w:p>
    <w:p w14:paraId="624F555A">
      <w:pPr>
        <w:jc w:val="center"/>
        <w:rPr>
          <w:rFonts w:ascii="宋体" w:hAnsi="宋体"/>
          <w:b/>
          <w:sz w:val="28"/>
          <w:szCs w:val="28"/>
        </w:rPr>
      </w:pPr>
    </w:p>
    <w:p w14:paraId="6D21DF79">
      <w:pPr>
        <w:jc w:val="center"/>
        <w:rPr>
          <w:rFonts w:ascii="宋体" w:hAnsi="宋体"/>
          <w:b/>
          <w:sz w:val="28"/>
          <w:szCs w:val="28"/>
        </w:rPr>
      </w:pPr>
    </w:p>
    <w:p w14:paraId="503A6D56">
      <w:pPr>
        <w:jc w:val="center"/>
        <w:rPr>
          <w:rFonts w:ascii="宋体" w:hAnsi="宋体"/>
          <w:b/>
          <w:sz w:val="28"/>
          <w:szCs w:val="28"/>
        </w:rPr>
      </w:pPr>
    </w:p>
    <w:p w14:paraId="2F563E8A">
      <w:pPr>
        <w:widowControl/>
        <w:spacing w:line="560" w:lineRule="exact"/>
        <w:ind w:firstLine="1767" w:firstLineChars="400"/>
        <w:jc w:val="both"/>
        <w:textAlignment w:val="center"/>
        <w:rPr>
          <w:rFonts w:hint="eastAsia" w:ascii="宋体" w:hAnsi="宋体" w:cs="宋体"/>
          <w:b/>
          <w:sz w:val="44"/>
          <w:szCs w:val="44"/>
          <w:lang w:val="en-US" w:eastAsia="zh-CN"/>
        </w:rPr>
      </w:pPr>
      <w:r>
        <w:rPr>
          <w:rFonts w:hint="eastAsia" w:ascii="宋体" w:hAnsi="宋体" w:cs="宋体"/>
          <w:b/>
          <w:sz w:val="44"/>
          <w:szCs w:val="44"/>
          <w:lang w:val="en-US" w:eastAsia="zh-CN"/>
        </w:rPr>
        <w:t>天宝动物营养科技股份有限公司</w:t>
      </w:r>
    </w:p>
    <w:p w14:paraId="4BB113CD">
      <w:pPr>
        <w:pStyle w:val="2"/>
        <w:jc w:val="center"/>
        <w:rPr>
          <w:rFonts w:hint="eastAsia" w:ascii="宋体" w:hAnsi="宋体" w:eastAsia="宋体" w:cs="宋体"/>
          <w:b/>
          <w:kern w:val="2"/>
          <w:sz w:val="44"/>
          <w:szCs w:val="44"/>
          <w:lang w:val="en-US" w:eastAsia="zh-CN" w:bidi="ar-SA"/>
        </w:rPr>
      </w:pPr>
    </w:p>
    <w:p w14:paraId="169E2894">
      <w:pPr>
        <w:widowControl/>
        <w:spacing w:line="560" w:lineRule="exact"/>
        <w:ind w:firstLine="2650" w:firstLineChars="600"/>
        <w:jc w:val="both"/>
        <w:textAlignment w:val="center"/>
        <w:rPr>
          <w:rFonts w:hint="eastAsia" w:ascii="宋体" w:hAnsi="宋体" w:eastAsia="宋体" w:cs="宋体"/>
          <w:b/>
          <w:kern w:val="2"/>
          <w:sz w:val="44"/>
          <w:szCs w:val="44"/>
          <w:lang w:val="en-US" w:eastAsia="zh-CN" w:bidi="ar-SA"/>
        </w:rPr>
      </w:pPr>
      <w:r>
        <w:rPr>
          <w:rFonts w:hint="eastAsia" w:ascii="宋体" w:hAnsi="宋体" w:cs="宋体"/>
          <w:b/>
          <w:kern w:val="2"/>
          <w:sz w:val="44"/>
          <w:szCs w:val="44"/>
          <w:lang w:val="en-US" w:eastAsia="zh-CN" w:bidi="ar-SA"/>
        </w:rPr>
        <w:t>精酸池结晶</w:t>
      </w:r>
      <w:r>
        <w:rPr>
          <w:rFonts w:hint="eastAsia" w:ascii="宋体" w:hAnsi="宋体" w:eastAsia="宋体" w:cs="宋体"/>
          <w:b/>
          <w:kern w:val="2"/>
          <w:sz w:val="44"/>
          <w:szCs w:val="44"/>
          <w:lang w:val="en-US" w:eastAsia="zh-CN" w:bidi="ar-SA"/>
        </w:rPr>
        <w:t>处置告知函</w:t>
      </w:r>
    </w:p>
    <w:p w14:paraId="54697336">
      <w:pPr>
        <w:ind w:firstLine="560" w:firstLineChars="200"/>
        <w:jc w:val="center"/>
        <w:rPr>
          <w:rFonts w:ascii="宋体" w:hAnsi="宋体"/>
          <w:sz w:val="28"/>
          <w:szCs w:val="28"/>
        </w:rPr>
      </w:pPr>
    </w:p>
    <w:p w14:paraId="2B7696F3">
      <w:pPr>
        <w:ind w:firstLine="560" w:firstLineChars="200"/>
        <w:rPr>
          <w:rFonts w:ascii="宋体" w:hAnsi="宋体"/>
          <w:sz w:val="28"/>
          <w:szCs w:val="28"/>
        </w:rPr>
      </w:pPr>
    </w:p>
    <w:p w14:paraId="32798A15">
      <w:pPr>
        <w:ind w:firstLine="560" w:firstLineChars="200"/>
        <w:rPr>
          <w:rFonts w:ascii="宋体" w:hAnsi="宋体"/>
          <w:sz w:val="28"/>
          <w:szCs w:val="28"/>
        </w:rPr>
      </w:pPr>
    </w:p>
    <w:p w14:paraId="299092DA">
      <w:pPr>
        <w:ind w:firstLine="560" w:firstLineChars="200"/>
        <w:rPr>
          <w:rFonts w:ascii="宋体" w:hAnsi="宋体"/>
          <w:sz w:val="28"/>
          <w:szCs w:val="28"/>
        </w:rPr>
      </w:pPr>
    </w:p>
    <w:p w14:paraId="6B0C844A">
      <w:pPr>
        <w:rPr>
          <w:rFonts w:ascii="宋体" w:hAnsi="宋体"/>
          <w:sz w:val="28"/>
          <w:szCs w:val="28"/>
        </w:rPr>
      </w:pPr>
    </w:p>
    <w:p w14:paraId="34CD98E7">
      <w:pPr>
        <w:pStyle w:val="10"/>
        <w:rPr>
          <w:rFonts w:ascii="宋体" w:hAnsi="宋体"/>
          <w:sz w:val="28"/>
          <w:szCs w:val="28"/>
        </w:rPr>
      </w:pPr>
    </w:p>
    <w:p w14:paraId="05D8AC08">
      <w:pPr>
        <w:pStyle w:val="11"/>
        <w:rPr>
          <w:rFonts w:ascii="宋体" w:hAnsi="宋体"/>
          <w:sz w:val="28"/>
          <w:szCs w:val="28"/>
        </w:rPr>
      </w:pPr>
    </w:p>
    <w:p w14:paraId="10DEFE82">
      <w:pPr>
        <w:rPr>
          <w:rFonts w:ascii="宋体" w:hAnsi="宋体"/>
          <w:sz w:val="28"/>
          <w:szCs w:val="28"/>
        </w:rPr>
      </w:pPr>
    </w:p>
    <w:p w14:paraId="5D565182">
      <w:pPr>
        <w:jc w:val="left"/>
        <w:rPr>
          <w:rFonts w:ascii="宋体" w:hAnsi="宋体" w:cs="黑体"/>
          <w:bCs/>
          <w:color w:val="000000"/>
          <w:kern w:val="0"/>
          <w:sz w:val="28"/>
          <w:szCs w:val="28"/>
        </w:rPr>
      </w:pPr>
    </w:p>
    <w:p w14:paraId="7513EAF8">
      <w:pPr>
        <w:pStyle w:val="37"/>
        <w:spacing w:line="640" w:lineRule="exact"/>
        <w:ind w:firstLine="240" w:firstLineChars="100"/>
        <w:rPr>
          <w:rFonts w:ascii="宋体" w:hAnsi="宋体"/>
          <w:sz w:val="24"/>
        </w:rPr>
      </w:pPr>
    </w:p>
    <w:p w14:paraId="226FD3F6">
      <w:pPr>
        <w:pStyle w:val="37"/>
        <w:spacing w:line="640" w:lineRule="exact"/>
        <w:ind w:firstLine="240" w:firstLineChars="100"/>
        <w:rPr>
          <w:rFonts w:ascii="宋体" w:hAnsi="宋体"/>
          <w:sz w:val="24"/>
        </w:rPr>
      </w:pPr>
    </w:p>
    <w:p w14:paraId="6CE1085B">
      <w:pPr>
        <w:pStyle w:val="37"/>
        <w:numPr>
          <w:ilvl w:val="0"/>
          <w:numId w:val="0"/>
        </w:numPr>
        <w:spacing w:line="400" w:lineRule="exact"/>
        <w:ind w:left="240" w:leftChars="0"/>
        <w:rPr>
          <w:rFonts w:hint="eastAsia" w:ascii="宋体" w:hAnsi="宋体"/>
          <w:sz w:val="24"/>
        </w:rPr>
      </w:pPr>
    </w:p>
    <w:p w14:paraId="642F6462">
      <w:pPr>
        <w:pStyle w:val="37"/>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482" w:firstLineChars="200"/>
        <w:textAlignment w:val="auto"/>
        <w:rPr>
          <w:rFonts w:ascii="宋体" w:hAnsi="宋体"/>
          <w:b/>
          <w:bCs/>
          <w:sz w:val="24"/>
        </w:rPr>
      </w:pPr>
      <w:r>
        <w:rPr>
          <w:rFonts w:hint="eastAsia" w:ascii="宋体" w:hAnsi="宋体"/>
          <w:b/>
          <w:bCs/>
          <w:sz w:val="24"/>
          <w:lang w:val="en-US" w:eastAsia="zh-CN"/>
        </w:rPr>
        <w:t>一、</w:t>
      </w:r>
      <w:r>
        <w:rPr>
          <w:rFonts w:hint="eastAsia" w:ascii="宋体" w:hAnsi="宋体"/>
          <w:b/>
          <w:bCs/>
          <w:sz w:val="24"/>
        </w:rPr>
        <w:t>处置内容</w:t>
      </w:r>
    </w:p>
    <w:tbl>
      <w:tblPr>
        <w:tblStyle w:val="18"/>
        <w:tblW w:w="919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14"/>
        <w:gridCol w:w="2262"/>
        <w:gridCol w:w="966"/>
        <w:gridCol w:w="1379"/>
        <w:gridCol w:w="1283"/>
        <w:gridCol w:w="2595"/>
      </w:tblGrid>
      <w:tr w14:paraId="7A1AB0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jc w:val="center"/>
        </w:trPr>
        <w:tc>
          <w:tcPr>
            <w:tcW w:w="71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3EC4BC3">
            <w:pPr>
              <w:keepNext w:val="0"/>
              <w:keepLines w:val="0"/>
              <w:widowControl/>
              <w:suppressLineNumbers w:val="0"/>
              <w:snapToGrid w:val="0"/>
              <w:jc w:val="center"/>
              <w:textAlignment w:val="center"/>
              <w:rPr>
                <w:rFonts w:hint="eastAsia" w:ascii="宋体" w:hAnsi="宋体" w:eastAsia="宋体" w:cs="宋体"/>
                <w:b/>
                <w:bCs/>
                <w:i w:val="0"/>
                <w:iCs w:val="0"/>
                <w:color w:val="000000"/>
                <w:sz w:val="24"/>
                <w:szCs w:val="24"/>
                <w:u w:val="none"/>
                <w:lang w:val="en-US" w:eastAsia="zh-CN"/>
              </w:rPr>
            </w:pPr>
            <w:r>
              <w:rPr>
                <w:rFonts w:hint="eastAsia" w:ascii="宋体" w:hAnsi="宋体" w:cs="宋体"/>
                <w:b/>
                <w:bCs/>
                <w:i w:val="0"/>
                <w:iCs w:val="0"/>
                <w:color w:val="000000"/>
                <w:sz w:val="24"/>
                <w:szCs w:val="24"/>
                <w:u w:val="none"/>
                <w:lang w:val="en-US" w:eastAsia="zh-CN"/>
              </w:rPr>
              <w:t>序号</w:t>
            </w:r>
          </w:p>
        </w:tc>
        <w:tc>
          <w:tcPr>
            <w:tcW w:w="226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CC136A3">
            <w:pPr>
              <w:keepNext w:val="0"/>
              <w:keepLines w:val="0"/>
              <w:widowControl/>
              <w:suppressLineNumbers w:val="0"/>
              <w:snapToGrid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废旧物资名称</w:t>
            </w:r>
          </w:p>
        </w:tc>
        <w:tc>
          <w:tcPr>
            <w:tcW w:w="96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71E0A2F">
            <w:pPr>
              <w:keepNext w:val="0"/>
              <w:keepLines w:val="0"/>
              <w:widowControl/>
              <w:suppressLineNumbers w:val="0"/>
              <w:snapToGrid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单位</w:t>
            </w:r>
          </w:p>
        </w:tc>
        <w:tc>
          <w:tcPr>
            <w:tcW w:w="137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39CF301">
            <w:pPr>
              <w:keepNext w:val="0"/>
              <w:keepLines w:val="0"/>
              <w:widowControl/>
              <w:suppressLineNumbers w:val="0"/>
              <w:snapToGrid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数量</w:t>
            </w:r>
            <w:r>
              <w:rPr>
                <w:rFonts w:hint="eastAsia" w:ascii="宋体" w:hAnsi="宋体" w:cs="宋体"/>
                <w:b/>
                <w:bCs/>
                <w:i w:val="0"/>
                <w:iCs w:val="0"/>
                <w:color w:val="000000"/>
                <w:kern w:val="0"/>
                <w:sz w:val="24"/>
                <w:szCs w:val="24"/>
                <w:u w:val="none"/>
                <w:lang w:val="en-US" w:eastAsia="zh-CN" w:bidi="ar"/>
              </w:rPr>
              <w:t xml:space="preserve">      （预估量）</w:t>
            </w:r>
          </w:p>
        </w:tc>
        <w:tc>
          <w:tcPr>
            <w:tcW w:w="128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70FB065">
            <w:pPr>
              <w:keepNext w:val="0"/>
              <w:keepLines w:val="0"/>
              <w:widowControl/>
              <w:suppressLineNumbers w:val="0"/>
              <w:snapToGrid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存放地点</w:t>
            </w:r>
          </w:p>
        </w:tc>
        <w:tc>
          <w:tcPr>
            <w:tcW w:w="259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B729FDB">
            <w:pPr>
              <w:keepNext w:val="0"/>
              <w:keepLines w:val="0"/>
              <w:widowControl/>
              <w:suppressLineNumbers w:val="0"/>
              <w:snapToGrid w:val="0"/>
              <w:jc w:val="center"/>
              <w:textAlignment w:val="center"/>
              <w:rPr>
                <w:rFonts w:hint="eastAsia" w:ascii="宋体" w:hAnsi="宋体" w:cs="宋体"/>
                <w:b/>
                <w:bCs/>
                <w:i w:val="0"/>
                <w:iCs w:val="0"/>
                <w:color w:val="000000"/>
                <w:kern w:val="0"/>
                <w:sz w:val="24"/>
                <w:szCs w:val="24"/>
                <w:u w:val="none"/>
                <w:lang w:val="en-US" w:eastAsia="zh-CN" w:bidi="ar"/>
              </w:rPr>
            </w:pPr>
            <w:r>
              <w:rPr>
                <w:rFonts w:hint="eastAsia" w:ascii="宋体" w:hAnsi="宋体" w:cs="宋体"/>
                <w:b/>
                <w:bCs/>
                <w:i w:val="0"/>
                <w:iCs w:val="0"/>
                <w:color w:val="000000"/>
                <w:kern w:val="0"/>
                <w:sz w:val="24"/>
                <w:szCs w:val="24"/>
                <w:u w:val="none"/>
                <w:lang w:val="en-US" w:eastAsia="zh-CN" w:bidi="ar"/>
              </w:rPr>
              <w:t>备注</w:t>
            </w:r>
          </w:p>
        </w:tc>
      </w:tr>
      <w:tr w14:paraId="7DD3BF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14" w:type="dxa"/>
            <w:tcBorders>
              <w:top w:val="single" w:color="auto" w:sz="4" w:space="0"/>
              <w:left w:val="single" w:color="auto" w:sz="4" w:space="0"/>
              <w:bottom w:val="single" w:color="auto" w:sz="4" w:space="0"/>
              <w:right w:val="single" w:color="auto" w:sz="4" w:space="0"/>
            </w:tcBorders>
            <w:shd w:val="clear" w:color="auto" w:fill="auto"/>
            <w:vAlign w:val="center"/>
          </w:tcPr>
          <w:p w14:paraId="382B8B73">
            <w:pPr>
              <w:keepNext w:val="0"/>
              <w:keepLines w:val="0"/>
              <w:widowControl/>
              <w:suppressLineNumbers w:val="0"/>
              <w:snapToGrid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1</w:t>
            </w:r>
          </w:p>
        </w:tc>
        <w:tc>
          <w:tcPr>
            <w:tcW w:w="2262" w:type="dxa"/>
            <w:tcBorders>
              <w:top w:val="single" w:color="auto" w:sz="4" w:space="0"/>
              <w:left w:val="single" w:color="auto" w:sz="4" w:space="0"/>
              <w:bottom w:val="single" w:color="auto" w:sz="4" w:space="0"/>
              <w:right w:val="single" w:color="auto" w:sz="4" w:space="0"/>
            </w:tcBorders>
            <w:shd w:val="clear" w:color="auto" w:fill="auto"/>
            <w:vAlign w:val="center"/>
          </w:tcPr>
          <w:p w14:paraId="082FB00E">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cs="宋体"/>
                <w:sz w:val="24"/>
                <w:szCs w:val="24"/>
                <w:lang w:val="en-US" w:eastAsia="zh-CN"/>
              </w:rPr>
              <w:t>精酸池结晶</w:t>
            </w:r>
          </w:p>
        </w:tc>
        <w:tc>
          <w:tcPr>
            <w:tcW w:w="966" w:type="dxa"/>
            <w:tcBorders>
              <w:top w:val="single" w:color="auto" w:sz="4" w:space="0"/>
              <w:left w:val="single" w:color="auto" w:sz="4" w:space="0"/>
              <w:bottom w:val="single" w:color="auto" w:sz="4" w:space="0"/>
              <w:right w:val="single" w:color="auto" w:sz="4" w:space="0"/>
            </w:tcBorders>
            <w:shd w:val="clear" w:color="auto" w:fill="auto"/>
            <w:vAlign w:val="center"/>
          </w:tcPr>
          <w:p w14:paraId="7C041AED">
            <w:pPr>
              <w:keepNext w:val="0"/>
              <w:keepLines w:val="0"/>
              <w:widowControl/>
              <w:suppressLineNumbers w:val="0"/>
              <w:snapToGrid w:val="0"/>
              <w:jc w:val="center"/>
              <w:textAlignment w:val="center"/>
              <w:rPr>
                <w:rFonts w:hint="default"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吨</w:t>
            </w:r>
          </w:p>
        </w:tc>
        <w:tc>
          <w:tcPr>
            <w:tcW w:w="1379" w:type="dxa"/>
            <w:tcBorders>
              <w:top w:val="single" w:color="auto" w:sz="4" w:space="0"/>
              <w:left w:val="single" w:color="auto" w:sz="4" w:space="0"/>
              <w:bottom w:val="single" w:color="auto" w:sz="4" w:space="0"/>
              <w:right w:val="single" w:color="auto" w:sz="4" w:space="0"/>
            </w:tcBorders>
            <w:shd w:val="clear" w:color="auto" w:fill="auto"/>
            <w:vAlign w:val="center"/>
          </w:tcPr>
          <w:p w14:paraId="690BB70F">
            <w:pPr>
              <w:keepNext w:val="0"/>
              <w:keepLines w:val="0"/>
              <w:widowControl/>
              <w:suppressLineNumbers w:val="0"/>
              <w:snapToGrid w:val="0"/>
              <w:jc w:val="center"/>
              <w:textAlignment w:val="center"/>
              <w:rPr>
                <w:rFonts w:hint="default" w:ascii="宋体" w:hAnsi="宋体" w:eastAsia="宋体" w:cs="宋体"/>
                <w:i w:val="0"/>
                <w:iCs w:val="0"/>
                <w:color w:val="000000"/>
                <w:sz w:val="21"/>
                <w:szCs w:val="21"/>
                <w:u w:val="none"/>
                <w:lang w:val="en-US"/>
              </w:rPr>
            </w:pPr>
            <w:r>
              <w:rPr>
                <w:rFonts w:hint="eastAsia" w:ascii="宋体" w:hAnsi="宋体" w:cs="宋体"/>
                <w:i w:val="0"/>
                <w:iCs w:val="0"/>
                <w:color w:val="000000"/>
                <w:sz w:val="21"/>
                <w:szCs w:val="21"/>
                <w:u w:val="none"/>
                <w:lang w:val="en-US" w:eastAsia="zh-CN"/>
              </w:rPr>
              <w:t xml:space="preserve">500 </w:t>
            </w:r>
          </w:p>
        </w:tc>
        <w:tc>
          <w:tcPr>
            <w:tcW w:w="1283" w:type="dxa"/>
            <w:tcBorders>
              <w:top w:val="single" w:color="auto" w:sz="4" w:space="0"/>
              <w:left w:val="single" w:color="auto" w:sz="4" w:space="0"/>
              <w:bottom w:val="single" w:color="auto" w:sz="4" w:space="0"/>
              <w:right w:val="single" w:color="auto" w:sz="4" w:space="0"/>
            </w:tcBorders>
            <w:shd w:val="clear" w:color="auto" w:fill="auto"/>
            <w:vAlign w:val="center"/>
          </w:tcPr>
          <w:p w14:paraId="0E46C9AC">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仓库</w:t>
            </w:r>
          </w:p>
        </w:tc>
        <w:tc>
          <w:tcPr>
            <w:tcW w:w="2595" w:type="dxa"/>
            <w:tcBorders>
              <w:top w:val="single" w:color="auto" w:sz="4" w:space="0"/>
              <w:left w:val="single" w:color="auto" w:sz="4" w:space="0"/>
              <w:bottom w:val="single" w:color="auto" w:sz="4" w:space="0"/>
              <w:right w:val="single" w:color="auto" w:sz="4" w:space="0"/>
            </w:tcBorders>
            <w:shd w:val="clear" w:color="auto" w:fill="auto"/>
            <w:vAlign w:val="center"/>
          </w:tcPr>
          <w:p w14:paraId="14C05C1E">
            <w:pPr>
              <w:snapToGrid w:val="0"/>
              <w:jc w:val="center"/>
              <w:rPr>
                <w:rFonts w:hint="eastAsia" w:ascii="宋体" w:hAnsi="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以实际过磅数量结算</w:t>
            </w:r>
          </w:p>
        </w:tc>
      </w:tr>
    </w:tbl>
    <w:p w14:paraId="2A133796">
      <w:pPr>
        <w:pStyle w:val="39"/>
        <w:keepNext w:val="0"/>
        <w:keepLines w:val="0"/>
        <w:pageBreakBefore w:val="0"/>
        <w:numPr>
          <w:ilvl w:val="0"/>
          <w:numId w:val="0"/>
        </w:numPr>
        <w:kinsoku/>
        <w:wordWrap/>
        <w:overflowPunct/>
        <w:topLinePunct w:val="0"/>
        <w:autoSpaceDE/>
        <w:autoSpaceDN/>
        <w:bidi w:val="0"/>
        <w:adjustRightInd/>
        <w:snapToGrid/>
        <w:spacing w:line="360" w:lineRule="exact"/>
        <w:ind w:firstLine="482" w:firstLineChars="200"/>
        <w:jc w:val="left"/>
        <w:rPr>
          <w:rFonts w:ascii="宋体" w:hAnsi="宋体" w:cs="黑体"/>
          <w:b/>
          <w:bCs w:val="0"/>
          <w:color w:val="000000"/>
          <w:kern w:val="0"/>
          <w:sz w:val="24"/>
          <w:szCs w:val="24"/>
        </w:rPr>
      </w:pPr>
      <w:r>
        <w:rPr>
          <w:rFonts w:hint="eastAsia" w:ascii="宋体" w:hAnsi="宋体" w:cs="黑体"/>
          <w:b/>
          <w:bCs w:val="0"/>
          <w:color w:val="000000"/>
          <w:kern w:val="0"/>
          <w:sz w:val="24"/>
          <w:szCs w:val="24"/>
          <w:lang w:val="en-US" w:eastAsia="zh-CN"/>
        </w:rPr>
        <w:t>二、</w:t>
      </w:r>
      <w:r>
        <w:rPr>
          <w:rFonts w:hint="eastAsia" w:ascii="宋体" w:hAnsi="宋体" w:cs="黑体"/>
          <w:b/>
          <w:bCs w:val="0"/>
          <w:color w:val="000000"/>
          <w:kern w:val="0"/>
          <w:sz w:val="24"/>
          <w:szCs w:val="24"/>
        </w:rPr>
        <w:t>资格</w:t>
      </w:r>
      <w:r>
        <w:rPr>
          <w:rFonts w:hint="eastAsia" w:ascii="宋体" w:hAnsi="宋体" w:cs="黑体"/>
          <w:b/>
          <w:bCs w:val="0"/>
          <w:color w:val="000000"/>
          <w:kern w:val="0"/>
          <w:sz w:val="24"/>
          <w:szCs w:val="24"/>
          <w:lang w:val="en-US" w:eastAsia="zh-CN"/>
        </w:rPr>
        <w:t>性审查</w:t>
      </w:r>
      <w:r>
        <w:rPr>
          <w:rFonts w:hint="eastAsia" w:ascii="宋体" w:hAnsi="宋体" w:cs="黑体"/>
          <w:b/>
          <w:bCs w:val="0"/>
          <w:color w:val="000000"/>
          <w:kern w:val="0"/>
          <w:sz w:val="24"/>
          <w:szCs w:val="24"/>
        </w:rPr>
        <w:t>要求及证明材料</w:t>
      </w:r>
    </w:p>
    <w:p w14:paraId="521C05DA">
      <w:pPr>
        <w:keepNext w:val="0"/>
        <w:keepLines w:val="0"/>
        <w:pageBreakBefore w:val="0"/>
        <w:kinsoku/>
        <w:wordWrap/>
        <w:overflowPunct/>
        <w:topLinePunct w:val="0"/>
        <w:autoSpaceDE/>
        <w:autoSpaceDN/>
        <w:bidi w:val="0"/>
        <w:adjustRightInd/>
        <w:snapToGrid/>
        <w:spacing w:line="360" w:lineRule="exact"/>
        <w:ind w:firstLine="480" w:firstLineChars="200"/>
        <w:rPr>
          <w:rFonts w:hint="eastAsia" w:ascii="宋体" w:hAnsi="宋体" w:eastAsia="宋体"/>
          <w:sz w:val="24"/>
          <w:szCs w:val="24"/>
          <w:lang w:eastAsia="zh-CN"/>
        </w:rPr>
      </w:pPr>
      <w:r>
        <w:rPr>
          <w:rFonts w:hint="eastAsia" w:ascii="宋体" w:hAnsi="宋体"/>
          <w:sz w:val="24"/>
          <w:szCs w:val="24"/>
          <w:lang w:val="en-US" w:eastAsia="zh-CN"/>
        </w:rPr>
        <w:t>1、</w:t>
      </w:r>
      <w:r>
        <w:rPr>
          <w:rFonts w:ascii="宋体" w:hAnsi="宋体"/>
          <w:sz w:val="24"/>
          <w:szCs w:val="24"/>
        </w:rPr>
        <w:t>须在中华人民共和国境内注册，具备独立承担民事责任的能力</w:t>
      </w:r>
      <w:r>
        <w:rPr>
          <w:rFonts w:hint="eastAsia" w:ascii="宋体" w:hAnsi="宋体"/>
          <w:sz w:val="24"/>
          <w:szCs w:val="24"/>
        </w:rPr>
        <w:t>（若为分公司，需提供总公司相应授权说明）</w:t>
      </w:r>
      <w:r>
        <w:rPr>
          <w:rFonts w:hint="eastAsia" w:ascii="宋体" w:hAnsi="宋体"/>
          <w:sz w:val="24"/>
          <w:szCs w:val="24"/>
          <w:lang w:eastAsia="zh-CN"/>
        </w:rPr>
        <w:t>。</w:t>
      </w:r>
    </w:p>
    <w:p w14:paraId="14DBCDA3">
      <w:pPr>
        <w:keepNext w:val="0"/>
        <w:keepLines w:val="0"/>
        <w:pageBreakBefore w:val="0"/>
        <w:widowControl/>
        <w:kinsoku/>
        <w:wordWrap/>
        <w:overflowPunct/>
        <w:topLinePunct w:val="0"/>
        <w:autoSpaceDE/>
        <w:autoSpaceDN/>
        <w:bidi w:val="0"/>
        <w:adjustRightInd/>
        <w:snapToGrid/>
        <w:spacing w:line="360" w:lineRule="exact"/>
        <w:ind w:firstLine="480" w:firstLineChars="200"/>
        <w:rPr>
          <w:rFonts w:ascii="宋体" w:hAnsi="宋体"/>
          <w:sz w:val="24"/>
          <w:szCs w:val="24"/>
        </w:rPr>
      </w:pPr>
      <w:r>
        <w:rPr>
          <w:rFonts w:hint="eastAsia" w:ascii="宋体" w:hAnsi="宋体"/>
          <w:sz w:val="24"/>
          <w:szCs w:val="24"/>
        </w:rPr>
        <w:t>证明材料</w:t>
      </w:r>
      <w:r>
        <w:rPr>
          <w:rFonts w:hint="eastAsia" w:ascii="宋体" w:hAnsi="宋体"/>
          <w:sz w:val="24"/>
          <w:szCs w:val="24"/>
          <w:lang w:eastAsia="zh-CN"/>
        </w:rPr>
        <w:t>：</w:t>
      </w:r>
      <w:r>
        <w:rPr>
          <w:rFonts w:hint="eastAsia" w:ascii="宋体" w:hAnsi="宋体"/>
          <w:sz w:val="24"/>
          <w:szCs w:val="24"/>
          <w:lang w:val="en-US" w:eastAsia="zh-CN"/>
        </w:rPr>
        <w:t>提供以下资料并加盖参与报价单位公章</w:t>
      </w:r>
      <w:r>
        <w:rPr>
          <w:rFonts w:hint="eastAsia" w:ascii="宋体" w:hAnsi="宋体"/>
          <w:sz w:val="24"/>
          <w:szCs w:val="24"/>
        </w:rPr>
        <w:t>：1.企业法人：提供“营业执照”；</w:t>
      </w:r>
      <w:r>
        <w:rPr>
          <w:rFonts w:hint="eastAsia" w:ascii="宋体" w:hAnsi="宋体"/>
          <w:sz w:val="24"/>
          <w:szCs w:val="24"/>
          <w:lang w:val="en-US" w:eastAsia="zh-CN"/>
        </w:rPr>
        <w:t>2、</w:t>
      </w:r>
      <w:r>
        <w:rPr>
          <w:rFonts w:hint="eastAsia" w:ascii="宋体" w:hAnsi="宋体"/>
          <w:sz w:val="24"/>
          <w:szCs w:val="24"/>
        </w:rPr>
        <w:t>事业法人：提供“事业单位法人证书”；3.其他组织：提供“相关主管部门颁发的准许执业证明文件或其他证明材料”；4.自然人：提供“身份证明材料”；5.若为分公司，还需提供总公司相应授权说明。</w:t>
      </w:r>
    </w:p>
    <w:p w14:paraId="27BA7FB5">
      <w:pPr>
        <w:keepNext w:val="0"/>
        <w:keepLines w:val="0"/>
        <w:pageBreakBefore w:val="0"/>
        <w:kinsoku/>
        <w:wordWrap/>
        <w:overflowPunct/>
        <w:topLinePunct w:val="0"/>
        <w:autoSpaceDE/>
        <w:autoSpaceDN/>
        <w:bidi w:val="0"/>
        <w:adjustRightInd/>
        <w:snapToGrid/>
        <w:spacing w:line="360" w:lineRule="exact"/>
        <w:ind w:firstLine="480" w:firstLineChars="200"/>
        <w:rPr>
          <w:rFonts w:hint="eastAsia" w:ascii="宋体" w:hAnsi="宋体" w:eastAsia="宋体"/>
          <w:sz w:val="24"/>
          <w:szCs w:val="24"/>
          <w:lang w:eastAsia="zh-CN"/>
        </w:rPr>
      </w:pPr>
      <w:r>
        <w:rPr>
          <w:rFonts w:hint="eastAsia" w:ascii="宋体" w:hAnsi="宋体"/>
          <w:sz w:val="24"/>
          <w:szCs w:val="24"/>
          <w:lang w:val="en-US" w:eastAsia="zh-CN"/>
        </w:rPr>
        <w:t>2、</w:t>
      </w:r>
      <w:r>
        <w:rPr>
          <w:rFonts w:hint="eastAsia" w:ascii="宋体" w:hAnsi="宋体"/>
          <w:sz w:val="24"/>
          <w:szCs w:val="24"/>
        </w:rPr>
        <w:t>意向买受人</w:t>
      </w:r>
      <w:r>
        <w:rPr>
          <w:rFonts w:hint="eastAsia" w:ascii="宋体" w:hAnsi="宋体" w:cs="___WRD_EMBED_SUB_46"/>
          <w:sz w:val="24"/>
          <w:szCs w:val="24"/>
        </w:rPr>
        <w:t>须承诺的事项</w:t>
      </w:r>
      <w:r>
        <w:rPr>
          <w:rFonts w:hint="eastAsia" w:ascii="宋体" w:hAnsi="宋体" w:cs="___WRD_EMBED_SUB_46"/>
          <w:color w:val="FF0000"/>
          <w:sz w:val="24"/>
          <w:szCs w:val="24"/>
          <w:lang w:eastAsia="zh-CN"/>
        </w:rPr>
        <w:t>（</w:t>
      </w:r>
      <w:r>
        <w:rPr>
          <w:rFonts w:hint="eastAsia" w:ascii="宋体" w:hAnsi="宋体"/>
          <w:color w:val="FF0000"/>
          <w:sz w:val="24"/>
          <w:szCs w:val="24"/>
          <w:lang w:val="en-US" w:eastAsia="zh-CN"/>
        </w:rPr>
        <w:t>加盖参选报价单位公章</w:t>
      </w:r>
      <w:r>
        <w:rPr>
          <w:rFonts w:hint="eastAsia" w:ascii="宋体" w:hAnsi="宋体" w:cs="___WRD_EMBED_SUB_46"/>
          <w:color w:val="0000FF"/>
          <w:sz w:val="24"/>
          <w:szCs w:val="24"/>
          <w:lang w:eastAsia="zh-CN"/>
        </w:rPr>
        <w:t>）</w:t>
      </w:r>
      <w:r>
        <w:rPr>
          <w:rFonts w:hint="eastAsia" w:ascii="宋体" w:hAnsi="宋体" w:cs="___WRD_EMBED_SUB_46"/>
          <w:sz w:val="24"/>
          <w:szCs w:val="24"/>
        </w:rPr>
        <w:t>：</w:t>
      </w:r>
      <w:r>
        <w:rPr>
          <w:rFonts w:hint="eastAsia" w:ascii="宋体" w:hAnsi="宋体" w:cs="___WRD_EMBED_SUB_46"/>
          <w:sz w:val="24"/>
          <w:szCs w:val="24"/>
          <w:lang w:eastAsia="zh-CN"/>
        </w:rPr>
        <w:t>（</w:t>
      </w:r>
      <w:r>
        <w:rPr>
          <w:rFonts w:hint="eastAsia" w:ascii="宋体" w:hAnsi="宋体" w:cs="___WRD_EMBED_SUB_46"/>
          <w:sz w:val="24"/>
          <w:szCs w:val="24"/>
          <w:lang w:val="en-US" w:eastAsia="zh-CN"/>
        </w:rPr>
        <w:t>附件1承诺书模板</w:t>
      </w:r>
      <w:r>
        <w:rPr>
          <w:rFonts w:hint="eastAsia" w:ascii="宋体" w:hAnsi="宋体" w:cs="___WRD_EMBED_SUB_46"/>
          <w:sz w:val="24"/>
          <w:szCs w:val="24"/>
          <w:lang w:eastAsia="zh-CN"/>
        </w:rPr>
        <w:t>）</w:t>
      </w:r>
    </w:p>
    <w:p w14:paraId="6A64708C">
      <w:pPr>
        <w:keepNext w:val="0"/>
        <w:keepLines w:val="0"/>
        <w:pageBreakBefore w:val="0"/>
        <w:kinsoku/>
        <w:wordWrap/>
        <w:overflowPunct/>
        <w:topLinePunct w:val="0"/>
        <w:autoSpaceDE/>
        <w:autoSpaceDN/>
        <w:bidi w:val="0"/>
        <w:adjustRightInd/>
        <w:snapToGrid/>
        <w:spacing w:line="360" w:lineRule="exact"/>
        <w:ind w:firstLine="480" w:firstLineChars="200"/>
        <w:rPr>
          <w:rFonts w:hint="eastAsia" w:ascii="宋体" w:hAnsi="宋体" w:eastAsia="宋体"/>
          <w:sz w:val="24"/>
          <w:szCs w:val="24"/>
          <w:lang w:eastAsia="zh-CN"/>
        </w:rPr>
      </w:pPr>
      <w:r>
        <w:rPr>
          <w:rFonts w:hint="eastAsia" w:ascii="宋体" w:hAnsi="宋体"/>
          <w:sz w:val="24"/>
          <w:szCs w:val="24"/>
          <w:lang w:eastAsia="zh-CN"/>
        </w:rPr>
        <w:t>（</w:t>
      </w:r>
      <w:r>
        <w:rPr>
          <w:rFonts w:hint="eastAsia" w:ascii="宋体" w:hAnsi="宋体"/>
          <w:sz w:val="24"/>
          <w:szCs w:val="24"/>
          <w:lang w:val="en-US" w:eastAsia="zh-CN"/>
        </w:rPr>
        <w:t>1</w:t>
      </w:r>
      <w:r>
        <w:rPr>
          <w:rFonts w:hint="eastAsia" w:ascii="宋体" w:hAnsi="宋体"/>
          <w:sz w:val="24"/>
          <w:szCs w:val="24"/>
          <w:lang w:eastAsia="zh-CN"/>
        </w:rPr>
        <w:t>）</w:t>
      </w:r>
      <w:r>
        <w:rPr>
          <w:rFonts w:hint="eastAsia" w:ascii="宋体" w:hAnsi="宋体"/>
          <w:sz w:val="24"/>
          <w:szCs w:val="24"/>
        </w:rPr>
        <w:t>具有良好的商业信誉，近一年内（</w:t>
      </w:r>
      <w:r>
        <w:rPr>
          <w:rFonts w:hint="eastAsia" w:ascii="宋体" w:hAnsi="宋体"/>
          <w:sz w:val="24"/>
          <w:szCs w:val="24"/>
          <w:lang w:val="en-US" w:eastAsia="zh-CN"/>
        </w:rPr>
        <w:t>2025</w:t>
      </w:r>
      <w:r>
        <w:rPr>
          <w:rFonts w:hint="eastAsia" w:ascii="宋体" w:hAnsi="宋体"/>
          <w:sz w:val="24"/>
          <w:szCs w:val="24"/>
        </w:rPr>
        <w:t>年</w:t>
      </w:r>
      <w:r>
        <w:rPr>
          <w:rFonts w:hint="eastAsia" w:ascii="宋体" w:hAnsi="宋体"/>
          <w:sz w:val="24"/>
          <w:szCs w:val="24"/>
          <w:lang w:val="en-US" w:eastAsia="zh-CN"/>
        </w:rPr>
        <w:t>8</w:t>
      </w:r>
      <w:r>
        <w:rPr>
          <w:rFonts w:hint="eastAsia" w:ascii="宋体" w:hAnsi="宋体"/>
          <w:sz w:val="24"/>
          <w:szCs w:val="24"/>
        </w:rPr>
        <w:t>月1日至</w:t>
      </w:r>
      <w:r>
        <w:rPr>
          <w:rFonts w:hint="eastAsia" w:ascii="宋体" w:hAnsi="宋体"/>
          <w:sz w:val="24"/>
          <w:szCs w:val="24"/>
          <w:lang w:val="en-US" w:eastAsia="zh-CN"/>
        </w:rPr>
        <w:t>2026</w:t>
      </w:r>
      <w:r>
        <w:rPr>
          <w:rFonts w:hint="eastAsia" w:ascii="宋体" w:hAnsi="宋体"/>
          <w:sz w:val="24"/>
          <w:szCs w:val="24"/>
        </w:rPr>
        <w:t>年</w:t>
      </w:r>
      <w:r>
        <w:rPr>
          <w:rFonts w:hint="eastAsia" w:ascii="宋体" w:hAnsi="宋体"/>
          <w:sz w:val="24"/>
          <w:szCs w:val="24"/>
          <w:lang w:val="en-US" w:eastAsia="zh-CN"/>
        </w:rPr>
        <w:t>8</w:t>
      </w:r>
      <w:r>
        <w:rPr>
          <w:rFonts w:hint="eastAsia" w:ascii="宋体" w:hAnsi="宋体"/>
          <w:sz w:val="24"/>
          <w:szCs w:val="24"/>
        </w:rPr>
        <w:t>月</w:t>
      </w:r>
      <w:r>
        <w:rPr>
          <w:rFonts w:hint="eastAsia" w:ascii="宋体" w:hAnsi="宋体"/>
          <w:sz w:val="24"/>
          <w:szCs w:val="24"/>
          <w:lang w:val="en-US" w:eastAsia="zh-CN"/>
        </w:rPr>
        <w:t>1</w:t>
      </w:r>
      <w:r>
        <w:rPr>
          <w:rFonts w:hint="eastAsia" w:ascii="宋体" w:hAnsi="宋体"/>
          <w:sz w:val="24"/>
          <w:szCs w:val="24"/>
        </w:rPr>
        <w:t>日）或成立至今（成立不足一年的单位）在日常经营活动中未出现重大违法经营行为，未处于有关行政处罚期间，未被列入工商系统经营异常名录或严重违法失信企业名单，未被列入人民法院公布的失信被执行人名单；若为境外投资者的，须符合外商投资产业指导目录和负面清单管理要求，以及外商投资安全审查有关规定</w:t>
      </w:r>
      <w:r>
        <w:rPr>
          <w:rFonts w:hint="eastAsia" w:ascii="宋体" w:hAnsi="宋体"/>
          <w:sz w:val="24"/>
          <w:szCs w:val="24"/>
          <w:lang w:eastAsia="zh-CN"/>
        </w:rPr>
        <w:t>。</w:t>
      </w:r>
    </w:p>
    <w:p w14:paraId="5027CD00">
      <w:pPr>
        <w:keepNext w:val="0"/>
        <w:keepLines w:val="0"/>
        <w:pageBreakBefore w:val="0"/>
        <w:kinsoku/>
        <w:wordWrap/>
        <w:overflowPunct/>
        <w:topLinePunct w:val="0"/>
        <w:autoSpaceDE/>
        <w:autoSpaceDN/>
        <w:bidi w:val="0"/>
        <w:adjustRightInd/>
        <w:snapToGrid/>
        <w:spacing w:line="360" w:lineRule="exact"/>
        <w:ind w:firstLine="480" w:firstLineChars="200"/>
        <w:rPr>
          <w:rFonts w:hint="eastAsia" w:ascii="宋体" w:hAnsi="宋体" w:eastAsia="宋体"/>
          <w:sz w:val="24"/>
          <w:szCs w:val="24"/>
          <w:lang w:eastAsia="zh-CN"/>
        </w:rPr>
      </w:pPr>
      <w:r>
        <w:rPr>
          <w:rFonts w:hint="eastAsia" w:ascii="宋体" w:hAnsi="宋体"/>
          <w:sz w:val="24"/>
          <w:szCs w:val="24"/>
          <w:lang w:eastAsia="zh-CN"/>
        </w:rPr>
        <w:t>（</w:t>
      </w:r>
      <w:r>
        <w:rPr>
          <w:rFonts w:hint="eastAsia" w:ascii="宋体" w:hAnsi="宋体"/>
          <w:sz w:val="24"/>
          <w:szCs w:val="24"/>
          <w:lang w:val="en-US" w:eastAsia="zh-CN"/>
        </w:rPr>
        <w:t>2</w:t>
      </w:r>
      <w:r>
        <w:rPr>
          <w:rFonts w:hint="eastAsia" w:ascii="宋体" w:hAnsi="宋体"/>
          <w:sz w:val="24"/>
          <w:szCs w:val="24"/>
          <w:lang w:eastAsia="zh-CN"/>
        </w:rPr>
        <w:t>）</w:t>
      </w:r>
      <w:r>
        <w:rPr>
          <w:rFonts w:hint="eastAsia" w:ascii="宋体" w:hAnsi="宋体"/>
          <w:sz w:val="24"/>
          <w:szCs w:val="24"/>
        </w:rPr>
        <w:t>财务状况：具有良好的财务状况和支付能力，资金来源合法</w:t>
      </w:r>
      <w:r>
        <w:rPr>
          <w:rFonts w:hint="eastAsia" w:ascii="宋体" w:hAnsi="宋体"/>
          <w:sz w:val="24"/>
          <w:szCs w:val="24"/>
          <w:lang w:eastAsia="zh-CN"/>
        </w:rPr>
        <w:t>。</w:t>
      </w:r>
    </w:p>
    <w:p w14:paraId="6FF0F910">
      <w:pPr>
        <w:keepNext w:val="0"/>
        <w:keepLines w:val="0"/>
        <w:pageBreakBefore w:val="0"/>
        <w:kinsoku/>
        <w:wordWrap/>
        <w:overflowPunct/>
        <w:topLinePunct w:val="0"/>
        <w:autoSpaceDE/>
        <w:autoSpaceDN/>
        <w:bidi w:val="0"/>
        <w:adjustRightInd/>
        <w:snapToGrid/>
        <w:spacing w:line="360" w:lineRule="exact"/>
        <w:ind w:firstLine="480" w:firstLineChars="200"/>
        <w:rPr>
          <w:rFonts w:hint="eastAsia" w:ascii="宋体" w:hAnsi="宋体" w:eastAsia="宋体"/>
          <w:sz w:val="24"/>
          <w:szCs w:val="24"/>
          <w:lang w:eastAsia="zh-CN"/>
        </w:rPr>
      </w:pPr>
      <w:r>
        <w:rPr>
          <w:rFonts w:hint="eastAsia" w:ascii="宋体" w:hAnsi="宋体"/>
          <w:sz w:val="24"/>
          <w:szCs w:val="24"/>
          <w:lang w:eastAsia="zh-CN"/>
        </w:rPr>
        <w:t>（</w:t>
      </w:r>
      <w:r>
        <w:rPr>
          <w:rFonts w:hint="eastAsia" w:ascii="宋体" w:hAnsi="宋体"/>
          <w:sz w:val="24"/>
          <w:szCs w:val="24"/>
          <w:lang w:val="en-US" w:eastAsia="zh-CN"/>
        </w:rPr>
        <w:t>3</w:t>
      </w:r>
      <w:r>
        <w:rPr>
          <w:rFonts w:hint="eastAsia" w:ascii="宋体" w:hAnsi="宋体"/>
          <w:sz w:val="24"/>
          <w:szCs w:val="24"/>
          <w:lang w:eastAsia="zh-CN"/>
        </w:rPr>
        <w:t>）</w:t>
      </w:r>
      <w:r>
        <w:rPr>
          <w:rFonts w:hint="eastAsia" w:ascii="宋体" w:hAnsi="宋体"/>
          <w:sz w:val="24"/>
          <w:szCs w:val="24"/>
        </w:rPr>
        <w:t>不存在与单位负责人为同一人或者存在直接控股、管理关系的其他供应商参与同一合同项下的处置活动的行为</w:t>
      </w:r>
      <w:r>
        <w:rPr>
          <w:rFonts w:hint="eastAsia" w:ascii="宋体" w:hAnsi="宋体"/>
          <w:sz w:val="24"/>
          <w:szCs w:val="24"/>
          <w:lang w:eastAsia="zh-CN"/>
        </w:rPr>
        <w:t>。</w:t>
      </w:r>
    </w:p>
    <w:p w14:paraId="621613E8">
      <w:pPr>
        <w:keepNext w:val="0"/>
        <w:keepLines w:val="0"/>
        <w:pageBreakBefore w:val="0"/>
        <w:kinsoku/>
        <w:wordWrap/>
        <w:overflowPunct/>
        <w:topLinePunct w:val="0"/>
        <w:autoSpaceDE/>
        <w:autoSpaceDN/>
        <w:bidi w:val="0"/>
        <w:adjustRightInd/>
        <w:snapToGrid/>
        <w:spacing w:line="360" w:lineRule="exact"/>
        <w:ind w:firstLine="480" w:firstLineChars="200"/>
        <w:rPr>
          <w:rFonts w:hint="eastAsia" w:ascii="宋体" w:hAnsi="宋体" w:eastAsia="宋体"/>
          <w:sz w:val="24"/>
          <w:szCs w:val="24"/>
          <w:lang w:eastAsia="zh-CN"/>
        </w:rPr>
      </w:pPr>
      <w:r>
        <w:rPr>
          <w:rFonts w:hint="eastAsia" w:ascii="宋体" w:hAnsi="宋体"/>
          <w:sz w:val="24"/>
          <w:szCs w:val="24"/>
          <w:lang w:eastAsia="zh-CN"/>
        </w:rPr>
        <w:t>（</w:t>
      </w:r>
      <w:r>
        <w:rPr>
          <w:rFonts w:hint="eastAsia" w:ascii="宋体" w:hAnsi="宋体"/>
          <w:sz w:val="24"/>
          <w:szCs w:val="24"/>
          <w:lang w:val="en-US" w:eastAsia="zh-CN"/>
        </w:rPr>
        <w:t>4）非</w:t>
      </w:r>
      <w:r>
        <w:rPr>
          <w:rFonts w:hint="eastAsia" w:ascii="宋体" w:hAnsi="宋体"/>
          <w:sz w:val="24"/>
          <w:szCs w:val="24"/>
        </w:rPr>
        <w:t>联合体参选</w:t>
      </w:r>
      <w:r>
        <w:rPr>
          <w:rFonts w:hint="eastAsia" w:ascii="宋体" w:hAnsi="宋体"/>
          <w:sz w:val="24"/>
          <w:szCs w:val="24"/>
          <w:lang w:eastAsia="zh-CN"/>
        </w:rPr>
        <w:t>。</w:t>
      </w:r>
    </w:p>
    <w:p w14:paraId="65C8E60C">
      <w:pPr>
        <w:keepNext w:val="0"/>
        <w:keepLines w:val="0"/>
        <w:pageBreakBefore w:val="0"/>
        <w:kinsoku/>
        <w:wordWrap/>
        <w:overflowPunct/>
        <w:topLinePunct w:val="0"/>
        <w:autoSpaceDE/>
        <w:autoSpaceDN/>
        <w:bidi w:val="0"/>
        <w:adjustRightInd/>
        <w:snapToGrid/>
        <w:spacing w:line="360" w:lineRule="exact"/>
        <w:ind w:firstLine="480" w:firstLineChars="200"/>
        <w:rPr>
          <w:rFonts w:hint="eastAsia"/>
          <w:lang w:eastAsia="zh-CN"/>
        </w:rPr>
      </w:pPr>
      <w:r>
        <w:rPr>
          <w:rFonts w:hint="eastAsia" w:ascii="宋体" w:hAnsi="宋体"/>
          <w:sz w:val="24"/>
          <w:szCs w:val="24"/>
          <w:lang w:eastAsia="zh-CN"/>
        </w:rPr>
        <w:t>（</w:t>
      </w:r>
      <w:r>
        <w:rPr>
          <w:rFonts w:hint="eastAsia" w:ascii="宋体" w:hAnsi="宋体"/>
          <w:sz w:val="24"/>
          <w:szCs w:val="24"/>
          <w:lang w:val="en-US" w:eastAsia="zh-CN"/>
        </w:rPr>
        <w:t>5</w:t>
      </w:r>
      <w:r>
        <w:rPr>
          <w:rFonts w:hint="eastAsia" w:ascii="宋体" w:hAnsi="宋体"/>
          <w:sz w:val="24"/>
          <w:szCs w:val="24"/>
          <w:lang w:eastAsia="zh-CN"/>
        </w:rPr>
        <w:t>）</w:t>
      </w:r>
      <w:r>
        <w:rPr>
          <w:rFonts w:hint="eastAsia" w:ascii="宋体" w:hAnsi="宋体"/>
          <w:sz w:val="24"/>
          <w:szCs w:val="24"/>
        </w:rPr>
        <w:t>符合国家法律、行政法规规定的其他条件，参与本次公开处置竞价不存在其他法律、法规规定的禁止性情形；并知晓因自身不符合条件参加竞价并获得成交，导致无法履约的，不予退还保证金并重新进行处置活动</w:t>
      </w:r>
      <w:r>
        <w:rPr>
          <w:rFonts w:hint="eastAsia" w:ascii="宋体" w:hAnsi="宋体"/>
          <w:sz w:val="24"/>
          <w:szCs w:val="24"/>
          <w:lang w:eastAsia="zh-CN"/>
        </w:rPr>
        <w:t>。</w:t>
      </w:r>
    </w:p>
    <w:p w14:paraId="1535FC7B">
      <w:pPr>
        <w:keepNext w:val="0"/>
        <w:keepLines w:val="0"/>
        <w:pageBreakBefore w:val="0"/>
        <w:kinsoku/>
        <w:wordWrap/>
        <w:overflowPunct/>
        <w:topLinePunct w:val="0"/>
        <w:autoSpaceDE/>
        <w:autoSpaceDN/>
        <w:bidi w:val="0"/>
        <w:adjustRightInd/>
        <w:snapToGrid/>
        <w:spacing w:line="360" w:lineRule="exact"/>
        <w:ind w:firstLine="482" w:firstLineChars="200"/>
        <w:rPr>
          <w:rFonts w:ascii="宋体" w:hAnsi="宋体"/>
          <w:b/>
          <w:bCs/>
          <w:color w:val="000000"/>
          <w:sz w:val="24"/>
          <w:szCs w:val="24"/>
        </w:rPr>
      </w:pPr>
      <w:r>
        <w:rPr>
          <w:rFonts w:hint="eastAsia" w:ascii="宋体" w:hAnsi="宋体"/>
          <w:b/>
          <w:bCs/>
          <w:color w:val="000000"/>
          <w:sz w:val="24"/>
          <w:szCs w:val="24"/>
        </w:rPr>
        <w:t>三、中标规则</w:t>
      </w:r>
    </w:p>
    <w:p w14:paraId="1B6157F3">
      <w:pPr>
        <w:keepNext w:val="0"/>
        <w:keepLines w:val="0"/>
        <w:widowControl/>
        <w:suppressLineNumbers w:val="0"/>
        <w:jc w:val="left"/>
        <w:rPr>
          <w:rFonts w:hint="eastAsia" w:ascii="宋体" w:hAnsi="宋体"/>
          <w:sz w:val="24"/>
          <w:szCs w:val="24"/>
          <w:lang w:val="en-US" w:eastAsia="zh-CN"/>
        </w:rPr>
      </w:pPr>
      <w:r>
        <w:rPr>
          <w:rFonts w:hint="eastAsia" w:ascii="宋体" w:hAnsi="宋体"/>
          <w:sz w:val="24"/>
          <w:szCs w:val="24"/>
          <w:lang w:val="en-US" w:eastAsia="zh-CN"/>
        </w:rPr>
        <w:t>1、密封报价，现场开标，一轮报价，即响应文件中的报价为最终报价。</w:t>
      </w:r>
    </w:p>
    <w:p w14:paraId="7BF5D662">
      <w:pPr>
        <w:keepNext w:val="0"/>
        <w:keepLines w:val="0"/>
        <w:widowControl/>
        <w:suppressLineNumbers w:val="0"/>
        <w:jc w:val="left"/>
        <w:rPr>
          <w:rFonts w:hint="eastAsia" w:ascii="宋体" w:hAnsi="宋体"/>
          <w:sz w:val="24"/>
          <w:szCs w:val="24"/>
        </w:rPr>
      </w:pPr>
      <w:r>
        <w:rPr>
          <w:rFonts w:hint="eastAsia" w:ascii="宋体" w:hAnsi="宋体"/>
          <w:color w:val="FF0000"/>
          <w:sz w:val="24"/>
          <w:szCs w:val="24"/>
          <w:lang w:val="en-US" w:eastAsia="zh-CN"/>
        </w:rPr>
        <w:t>2</w:t>
      </w:r>
      <w:r>
        <w:rPr>
          <w:rFonts w:hint="eastAsia" w:ascii="宋体" w:hAnsi="宋体"/>
          <w:color w:val="FF0000"/>
          <w:sz w:val="24"/>
          <w:szCs w:val="24"/>
          <w:shd w:val="clear" w:color="FFFFFF" w:fill="D9D9D9"/>
          <w:lang w:val="en-US" w:eastAsia="zh-CN"/>
        </w:rPr>
        <w:t>、本项目以竞价最高者</w:t>
      </w:r>
      <w:r>
        <w:rPr>
          <w:rFonts w:hint="eastAsia" w:ascii="宋体" w:hAnsi="宋体"/>
          <w:color w:val="FF0000"/>
          <w:sz w:val="24"/>
          <w:szCs w:val="24"/>
          <w:shd w:val="clear" w:color="FFFFFF" w:fill="D9D9D9"/>
        </w:rPr>
        <w:t>中</w:t>
      </w:r>
      <w:r>
        <w:rPr>
          <w:rFonts w:hint="eastAsia" w:ascii="宋体" w:hAnsi="宋体"/>
          <w:color w:val="FF0000"/>
          <w:sz w:val="24"/>
          <w:szCs w:val="24"/>
          <w:shd w:val="clear" w:color="FFFFFF" w:fill="D9D9D9"/>
          <w:lang w:val="en-US" w:eastAsia="zh-CN"/>
        </w:rPr>
        <w:t>标</w:t>
      </w:r>
      <w:r>
        <w:rPr>
          <w:rFonts w:hint="eastAsia" w:ascii="宋体" w:hAnsi="宋体"/>
          <w:color w:val="FF0000"/>
          <w:sz w:val="24"/>
          <w:szCs w:val="24"/>
          <w:lang w:val="en-US" w:eastAsia="zh-CN"/>
        </w:rPr>
        <w:t>，</w:t>
      </w:r>
      <w:r>
        <w:rPr>
          <w:rFonts w:hint="eastAsia" w:ascii="宋体" w:hAnsi="宋体"/>
          <w:sz w:val="24"/>
          <w:szCs w:val="24"/>
          <w:lang w:val="en-US" w:eastAsia="zh-CN"/>
        </w:rPr>
        <w:t>即</w:t>
      </w:r>
      <w:r>
        <w:rPr>
          <w:rFonts w:hint="eastAsia" w:ascii="宋体" w:hAnsi="宋体" w:eastAsia="宋体" w:cs="Times New Roman"/>
          <w:sz w:val="24"/>
          <w:szCs w:val="24"/>
          <w:lang w:val="en-US" w:eastAsia="zh-CN"/>
        </w:rPr>
        <w:t>对满足资格审查的参选单位报价，按照经评审的</w:t>
      </w:r>
      <w:r>
        <w:rPr>
          <w:rFonts w:hint="eastAsia" w:ascii="宋体" w:hAnsi="宋体" w:cs="Times New Roman"/>
          <w:sz w:val="24"/>
          <w:szCs w:val="24"/>
          <w:lang w:val="en-US" w:eastAsia="zh-CN"/>
        </w:rPr>
        <w:t>最高</w:t>
      </w:r>
      <w:r>
        <w:rPr>
          <w:rFonts w:hint="eastAsia" w:ascii="宋体" w:hAnsi="宋体" w:eastAsia="宋体" w:cs="Times New Roman"/>
          <w:sz w:val="24"/>
          <w:szCs w:val="24"/>
          <w:lang w:val="en-US" w:eastAsia="zh-CN"/>
        </w:rPr>
        <w:t>投标价排名。</w:t>
      </w:r>
    </w:p>
    <w:p w14:paraId="33EBBFC1">
      <w:pPr>
        <w:keepNext w:val="0"/>
        <w:keepLines w:val="0"/>
        <w:pageBreakBefore w:val="0"/>
        <w:kinsoku/>
        <w:wordWrap/>
        <w:overflowPunct/>
        <w:topLinePunct w:val="0"/>
        <w:autoSpaceDE/>
        <w:autoSpaceDN/>
        <w:bidi w:val="0"/>
        <w:adjustRightInd/>
        <w:snapToGrid/>
        <w:spacing w:line="360" w:lineRule="exact"/>
        <w:ind w:firstLine="482" w:firstLineChars="200"/>
        <w:rPr>
          <w:rFonts w:hint="eastAsia" w:ascii="宋体" w:hAnsi="宋体"/>
          <w:b/>
          <w:bCs/>
          <w:sz w:val="24"/>
          <w:szCs w:val="24"/>
        </w:rPr>
      </w:pPr>
      <w:r>
        <w:rPr>
          <w:rFonts w:hint="eastAsia" w:ascii="宋体" w:hAnsi="宋体"/>
          <w:b/>
          <w:bCs/>
          <w:sz w:val="24"/>
          <w:szCs w:val="24"/>
        </w:rPr>
        <w:t>四、处置程序</w:t>
      </w:r>
    </w:p>
    <w:p w14:paraId="37994FB5">
      <w:pPr>
        <w:keepNext w:val="0"/>
        <w:keepLines w:val="0"/>
        <w:pageBreakBefore w:val="0"/>
        <w:kinsoku/>
        <w:wordWrap/>
        <w:overflowPunct/>
        <w:topLinePunct w:val="0"/>
        <w:autoSpaceDE/>
        <w:autoSpaceDN/>
        <w:bidi w:val="0"/>
        <w:adjustRightInd/>
        <w:snapToGrid/>
        <w:spacing w:line="360" w:lineRule="exact"/>
        <w:ind w:firstLine="480" w:firstLineChars="200"/>
        <w:rPr>
          <w:rFonts w:hint="eastAsia" w:ascii="宋体" w:hAnsi="宋体"/>
          <w:sz w:val="24"/>
          <w:szCs w:val="24"/>
        </w:rPr>
      </w:pPr>
      <w:r>
        <w:rPr>
          <w:rFonts w:hint="eastAsia" w:ascii="宋体" w:hAnsi="宋体"/>
          <w:sz w:val="24"/>
          <w:szCs w:val="24"/>
        </w:rPr>
        <w:t>本次采用</w:t>
      </w:r>
      <w:r>
        <w:rPr>
          <w:rFonts w:hint="eastAsia" w:ascii="宋体" w:hAnsi="宋体"/>
          <w:sz w:val="24"/>
          <w:szCs w:val="24"/>
        </w:rPr>
        <w:sym w:font="Wingdings 2" w:char="0052"/>
      </w:r>
      <w:r>
        <w:rPr>
          <w:rFonts w:hint="eastAsia" w:ascii="宋体" w:hAnsi="宋体"/>
          <w:sz w:val="24"/>
          <w:szCs w:val="24"/>
        </w:rPr>
        <w:t>其它公开处置方式，具体程序如下：</w:t>
      </w:r>
    </w:p>
    <w:p w14:paraId="6694CFA2">
      <w:pPr>
        <w:keepNext w:val="0"/>
        <w:keepLines w:val="0"/>
        <w:pageBreakBefore w:val="0"/>
        <w:kinsoku/>
        <w:wordWrap/>
        <w:overflowPunct/>
        <w:topLinePunct w:val="0"/>
        <w:autoSpaceDE/>
        <w:autoSpaceDN/>
        <w:bidi w:val="0"/>
        <w:adjustRightInd/>
        <w:snapToGrid/>
        <w:spacing w:line="360" w:lineRule="exact"/>
        <w:ind w:firstLine="480" w:firstLineChars="200"/>
        <w:rPr>
          <w:rFonts w:hint="eastAsia" w:ascii="宋体" w:hAnsi="宋体"/>
          <w:sz w:val="24"/>
          <w:szCs w:val="24"/>
          <w:lang w:eastAsia="zh-CN"/>
        </w:rPr>
      </w:pPr>
      <w:r>
        <w:rPr>
          <w:rFonts w:hint="eastAsia" w:ascii="宋体" w:hAnsi="宋体"/>
          <w:sz w:val="24"/>
          <w:szCs w:val="24"/>
          <w:lang w:val="en-US" w:eastAsia="zh-CN"/>
        </w:rPr>
        <w:t>1、</w:t>
      </w:r>
      <w:r>
        <w:rPr>
          <w:rFonts w:hint="eastAsia" w:ascii="宋体" w:hAnsi="宋体"/>
          <w:sz w:val="24"/>
          <w:szCs w:val="24"/>
        </w:rPr>
        <w:t>各意向买受人通过</w:t>
      </w:r>
      <w:r>
        <w:rPr>
          <w:rFonts w:hint="eastAsia" w:ascii="宋体" w:hAnsi="宋体"/>
          <w:sz w:val="24"/>
          <w:szCs w:val="24"/>
          <w:lang w:val="en-US" w:eastAsia="zh-CN"/>
        </w:rPr>
        <w:t>邮寄</w:t>
      </w:r>
      <w:r>
        <w:rPr>
          <w:rFonts w:hint="eastAsia" w:ascii="宋体" w:hAnsi="宋体"/>
          <w:sz w:val="24"/>
          <w:szCs w:val="24"/>
        </w:rPr>
        <w:t>递交响应文件</w:t>
      </w:r>
      <w:r>
        <w:rPr>
          <w:rFonts w:hint="eastAsia" w:ascii="宋体" w:hAnsi="宋体"/>
          <w:sz w:val="24"/>
          <w:szCs w:val="24"/>
          <w:lang w:eastAsia="zh-CN"/>
        </w:rPr>
        <w:t>。</w:t>
      </w:r>
    </w:p>
    <w:p w14:paraId="6BD94BB3">
      <w:pPr>
        <w:keepNext w:val="0"/>
        <w:keepLines w:val="0"/>
        <w:pageBreakBefore w:val="0"/>
        <w:kinsoku/>
        <w:wordWrap/>
        <w:overflowPunct/>
        <w:topLinePunct w:val="0"/>
        <w:autoSpaceDE/>
        <w:autoSpaceDN/>
        <w:bidi w:val="0"/>
        <w:adjustRightInd/>
        <w:snapToGrid/>
        <w:spacing w:line="360" w:lineRule="exact"/>
        <w:ind w:firstLine="480" w:firstLineChars="200"/>
        <w:rPr>
          <w:rFonts w:hint="eastAsia" w:ascii="宋体" w:hAnsi="宋体" w:eastAsia="宋体"/>
          <w:color w:val="000000"/>
          <w:sz w:val="24"/>
          <w:szCs w:val="24"/>
          <w:lang w:eastAsia="zh-CN"/>
        </w:rPr>
      </w:pPr>
      <w:r>
        <w:rPr>
          <w:rFonts w:hint="eastAsia" w:ascii="宋体" w:hAnsi="宋体"/>
          <w:sz w:val="24"/>
          <w:szCs w:val="24"/>
          <w:lang w:val="en-US" w:eastAsia="zh-CN"/>
        </w:rPr>
        <w:t>2、</w:t>
      </w:r>
      <w:r>
        <w:rPr>
          <w:rFonts w:hint="eastAsia" w:ascii="宋体" w:hAnsi="宋体"/>
          <w:sz w:val="24"/>
          <w:szCs w:val="24"/>
        </w:rPr>
        <w:t>递交响应文件时间截止后，处置人现场公布报</w:t>
      </w:r>
      <w:r>
        <w:rPr>
          <w:rFonts w:ascii="宋体" w:hAnsi="宋体"/>
          <w:color w:val="000000"/>
          <w:sz w:val="24"/>
          <w:szCs w:val="24"/>
        </w:rPr>
        <w:t>价</w:t>
      </w:r>
      <w:r>
        <w:rPr>
          <w:rFonts w:hint="eastAsia" w:ascii="宋体" w:hAnsi="宋体"/>
          <w:color w:val="000000"/>
          <w:sz w:val="24"/>
          <w:szCs w:val="24"/>
          <w:lang w:eastAsia="zh-CN"/>
        </w:rPr>
        <w:t>。</w:t>
      </w:r>
    </w:p>
    <w:p w14:paraId="5FBD9F5C">
      <w:pPr>
        <w:keepNext w:val="0"/>
        <w:keepLines w:val="0"/>
        <w:pageBreakBefore w:val="0"/>
        <w:kinsoku/>
        <w:wordWrap/>
        <w:overflowPunct/>
        <w:topLinePunct w:val="0"/>
        <w:autoSpaceDE/>
        <w:autoSpaceDN/>
        <w:bidi w:val="0"/>
        <w:adjustRightInd/>
        <w:snapToGrid/>
        <w:spacing w:line="360" w:lineRule="exact"/>
        <w:ind w:firstLine="480" w:firstLineChars="200"/>
        <w:rPr>
          <w:rFonts w:hint="eastAsia" w:ascii="宋体" w:hAnsi="宋体" w:eastAsia="宋体"/>
          <w:color w:val="000000"/>
          <w:sz w:val="24"/>
          <w:szCs w:val="24"/>
          <w:lang w:eastAsia="zh-CN"/>
        </w:rPr>
      </w:pPr>
      <w:r>
        <w:rPr>
          <w:rFonts w:hint="eastAsia" w:ascii="宋体" w:hAnsi="宋体"/>
          <w:color w:val="000000"/>
          <w:sz w:val="24"/>
          <w:szCs w:val="24"/>
          <w:lang w:val="en-US" w:eastAsia="zh-CN"/>
        </w:rPr>
        <w:t>3、</w:t>
      </w:r>
      <w:r>
        <w:rPr>
          <w:rFonts w:ascii="宋体" w:hAnsi="宋体"/>
          <w:color w:val="000000"/>
          <w:sz w:val="24"/>
          <w:szCs w:val="24"/>
        </w:rPr>
        <w:t>评审委员会对意向买受人进行资格审查</w:t>
      </w:r>
      <w:r>
        <w:rPr>
          <w:rFonts w:hint="eastAsia" w:ascii="宋体" w:hAnsi="宋体"/>
          <w:color w:val="000000"/>
          <w:sz w:val="24"/>
          <w:szCs w:val="24"/>
          <w:lang w:eastAsia="zh-CN"/>
        </w:rPr>
        <w:t>。</w:t>
      </w:r>
    </w:p>
    <w:p w14:paraId="4B8C7658">
      <w:pPr>
        <w:keepNext w:val="0"/>
        <w:keepLines w:val="0"/>
        <w:pageBreakBefore w:val="0"/>
        <w:kinsoku/>
        <w:wordWrap/>
        <w:overflowPunct/>
        <w:topLinePunct w:val="0"/>
        <w:autoSpaceDE/>
        <w:autoSpaceDN/>
        <w:bidi w:val="0"/>
        <w:adjustRightInd/>
        <w:snapToGrid/>
        <w:spacing w:line="360" w:lineRule="exact"/>
        <w:ind w:firstLine="480" w:firstLineChars="200"/>
        <w:rPr>
          <w:rFonts w:hint="eastAsia" w:ascii="宋体" w:hAnsi="宋体" w:cs="仿宋"/>
          <w:color w:val="000000"/>
          <w:sz w:val="24"/>
          <w:szCs w:val="24"/>
          <w:lang w:val="en-US" w:eastAsia="zh-CN"/>
        </w:rPr>
      </w:pPr>
      <w:r>
        <w:rPr>
          <w:rFonts w:hint="eastAsia" w:ascii="宋体" w:hAnsi="宋体"/>
          <w:color w:val="000000"/>
          <w:sz w:val="24"/>
          <w:szCs w:val="24"/>
          <w:lang w:val="en-US" w:eastAsia="zh-CN"/>
        </w:rPr>
        <w:t>4、</w:t>
      </w:r>
      <w:r>
        <w:rPr>
          <w:rFonts w:hint="eastAsia" w:ascii="宋体" w:hAnsi="宋体" w:cs="仿宋"/>
          <w:color w:val="000000"/>
          <w:sz w:val="24"/>
          <w:szCs w:val="24"/>
        </w:rPr>
        <w:t>资格审查</w:t>
      </w:r>
      <w:r>
        <w:rPr>
          <w:rFonts w:hint="eastAsia" w:ascii="宋体" w:hAnsi="宋体" w:cs="仿宋"/>
          <w:color w:val="000000"/>
          <w:sz w:val="24"/>
          <w:szCs w:val="24"/>
          <w:lang w:val="en-US" w:eastAsia="zh-CN"/>
        </w:rPr>
        <w:t>未通过的</w:t>
      </w:r>
      <w:r>
        <w:rPr>
          <w:rFonts w:hint="eastAsia" w:ascii="宋体" w:hAnsi="宋体" w:cs="仿宋"/>
          <w:color w:val="000000"/>
          <w:sz w:val="24"/>
          <w:szCs w:val="24"/>
        </w:rPr>
        <w:t>意向买受人</w:t>
      </w:r>
      <w:r>
        <w:rPr>
          <w:rFonts w:hint="eastAsia" w:ascii="宋体" w:hAnsi="宋体" w:cs="仿宋"/>
          <w:color w:val="000000"/>
          <w:sz w:val="24"/>
          <w:szCs w:val="24"/>
          <w:lang w:eastAsia="zh-CN"/>
        </w:rPr>
        <w:t>，</w:t>
      </w:r>
      <w:r>
        <w:rPr>
          <w:rFonts w:hint="eastAsia" w:ascii="宋体" w:hAnsi="宋体" w:cs="仿宋"/>
          <w:color w:val="000000"/>
          <w:sz w:val="24"/>
          <w:szCs w:val="24"/>
          <w:lang w:val="en-US" w:eastAsia="zh-CN"/>
        </w:rPr>
        <w:t>视为其报价无效。</w:t>
      </w:r>
    </w:p>
    <w:p w14:paraId="57FD87D6">
      <w:pPr>
        <w:keepNext w:val="0"/>
        <w:keepLines w:val="0"/>
        <w:pageBreakBefore w:val="0"/>
        <w:kinsoku/>
        <w:wordWrap/>
        <w:overflowPunct/>
        <w:topLinePunct w:val="0"/>
        <w:autoSpaceDE/>
        <w:autoSpaceDN/>
        <w:bidi w:val="0"/>
        <w:adjustRightInd/>
        <w:snapToGrid/>
        <w:spacing w:line="360" w:lineRule="exact"/>
        <w:ind w:firstLine="480" w:firstLineChars="200"/>
        <w:rPr>
          <w:rFonts w:ascii="宋体" w:hAnsi="宋体"/>
          <w:color w:val="000000"/>
          <w:sz w:val="24"/>
          <w:szCs w:val="24"/>
        </w:rPr>
      </w:pPr>
      <w:r>
        <w:rPr>
          <w:rFonts w:hint="eastAsia" w:ascii="宋体" w:hAnsi="宋体"/>
          <w:color w:val="000000"/>
          <w:sz w:val="24"/>
          <w:szCs w:val="24"/>
          <w:lang w:val="en-US" w:eastAsia="zh-CN"/>
        </w:rPr>
        <w:t>5、</w:t>
      </w:r>
      <w:r>
        <w:rPr>
          <w:rFonts w:hint="eastAsia" w:ascii="宋体" w:hAnsi="宋体"/>
          <w:color w:val="000000"/>
          <w:sz w:val="24"/>
          <w:szCs w:val="24"/>
        </w:rPr>
        <w:t>处置评审</w:t>
      </w:r>
      <w:r>
        <w:rPr>
          <w:rFonts w:ascii="宋体" w:hAnsi="宋体"/>
          <w:color w:val="000000"/>
          <w:sz w:val="24"/>
          <w:szCs w:val="24"/>
        </w:rPr>
        <w:t>结束后，</w:t>
      </w:r>
      <w:r>
        <w:rPr>
          <w:rFonts w:hint="eastAsia" w:ascii="宋体" w:hAnsi="宋体"/>
          <w:color w:val="000000"/>
          <w:sz w:val="24"/>
          <w:szCs w:val="24"/>
        </w:rPr>
        <w:t>处置人</w:t>
      </w:r>
      <w:r>
        <w:rPr>
          <w:rFonts w:ascii="宋体" w:hAnsi="宋体"/>
          <w:color w:val="000000"/>
          <w:sz w:val="24"/>
          <w:szCs w:val="24"/>
        </w:rPr>
        <w:t>将</w:t>
      </w:r>
      <w:r>
        <w:rPr>
          <w:rFonts w:hint="eastAsia" w:ascii="宋体" w:hAnsi="宋体"/>
          <w:color w:val="000000"/>
          <w:sz w:val="24"/>
          <w:szCs w:val="24"/>
        </w:rPr>
        <w:t>处置评审</w:t>
      </w:r>
      <w:r>
        <w:rPr>
          <w:rFonts w:ascii="宋体" w:hAnsi="宋体"/>
          <w:color w:val="000000"/>
          <w:sz w:val="24"/>
          <w:szCs w:val="24"/>
        </w:rPr>
        <w:t>结果报公司内部决策，</w:t>
      </w:r>
      <w:r>
        <w:rPr>
          <w:rFonts w:hint="eastAsia" w:ascii="宋体" w:hAnsi="宋体"/>
          <w:color w:val="000000"/>
          <w:sz w:val="24"/>
          <w:szCs w:val="24"/>
        </w:rPr>
        <w:t>通过后</w:t>
      </w:r>
      <w:r>
        <w:rPr>
          <w:rFonts w:ascii="宋体" w:hAnsi="宋体"/>
          <w:color w:val="000000"/>
          <w:sz w:val="24"/>
          <w:szCs w:val="24"/>
        </w:rPr>
        <w:t>将结果通知中选</w:t>
      </w:r>
      <w:r>
        <w:rPr>
          <w:rFonts w:hint="eastAsia" w:ascii="宋体" w:hAnsi="宋体"/>
          <w:color w:val="000000"/>
          <w:sz w:val="24"/>
          <w:szCs w:val="24"/>
        </w:rPr>
        <w:t>人</w:t>
      </w:r>
      <w:r>
        <w:rPr>
          <w:rFonts w:ascii="宋体" w:hAnsi="宋体"/>
          <w:color w:val="000000"/>
          <w:sz w:val="24"/>
          <w:szCs w:val="24"/>
        </w:rPr>
        <w:t>，双方择日签订正式协议</w:t>
      </w:r>
      <w:r>
        <w:rPr>
          <w:rFonts w:hint="eastAsia" w:ascii="宋体" w:hAnsi="宋体"/>
          <w:color w:val="000000"/>
          <w:sz w:val="24"/>
          <w:szCs w:val="24"/>
        </w:rPr>
        <w:t>。</w:t>
      </w:r>
    </w:p>
    <w:p w14:paraId="2104F24A">
      <w:pPr>
        <w:pStyle w:val="10"/>
        <w:keepNext w:val="0"/>
        <w:keepLines w:val="0"/>
        <w:pageBreakBefore w:val="0"/>
        <w:kinsoku/>
        <w:wordWrap/>
        <w:overflowPunct/>
        <w:topLinePunct w:val="0"/>
        <w:autoSpaceDE/>
        <w:autoSpaceDN/>
        <w:bidi w:val="0"/>
        <w:adjustRightInd/>
        <w:snapToGrid/>
        <w:spacing w:after="0" w:line="360" w:lineRule="exact"/>
        <w:ind w:firstLine="482" w:firstLineChars="200"/>
        <w:rPr>
          <w:rFonts w:ascii="宋体" w:hAnsi="宋体" w:cs="黑体"/>
          <w:b/>
          <w:bCs w:val="0"/>
          <w:color w:val="000000"/>
          <w:kern w:val="0"/>
          <w:sz w:val="24"/>
          <w:szCs w:val="24"/>
        </w:rPr>
      </w:pPr>
      <w:r>
        <w:rPr>
          <w:rFonts w:hint="eastAsia" w:ascii="宋体" w:hAnsi="宋体" w:cs="黑体"/>
          <w:b/>
          <w:bCs w:val="0"/>
          <w:color w:val="000000"/>
          <w:kern w:val="0"/>
          <w:sz w:val="24"/>
          <w:szCs w:val="24"/>
        </w:rPr>
        <w:t>五、处置申请材料提交</w:t>
      </w:r>
    </w:p>
    <w:p w14:paraId="58A424B0">
      <w:pPr>
        <w:keepNext w:val="0"/>
        <w:keepLines w:val="0"/>
        <w:pageBreakBefore w:val="0"/>
        <w:kinsoku/>
        <w:wordWrap/>
        <w:overflowPunct/>
        <w:topLinePunct w:val="0"/>
        <w:autoSpaceDE/>
        <w:autoSpaceDN/>
        <w:bidi w:val="0"/>
        <w:adjustRightInd/>
        <w:snapToGrid/>
        <w:spacing w:line="360" w:lineRule="exact"/>
        <w:ind w:firstLine="480" w:firstLineChars="200"/>
        <w:jc w:val="left"/>
        <w:rPr>
          <w:rFonts w:hint="eastAsia" w:ascii="宋体" w:hAnsi="宋体" w:eastAsia="宋体"/>
          <w:bCs/>
          <w:color w:val="000000"/>
          <w:sz w:val="24"/>
          <w:szCs w:val="24"/>
          <w:highlight w:val="red"/>
          <w:lang w:eastAsia="zh-CN"/>
        </w:rPr>
      </w:pPr>
      <w:r>
        <w:rPr>
          <w:rFonts w:hint="eastAsia" w:ascii="宋体" w:hAnsi="宋体"/>
          <w:color w:val="000000"/>
          <w:sz w:val="24"/>
          <w:szCs w:val="24"/>
          <w:lang w:val="en-US" w:eastAsia="zh-CN"/>
        </w:rPr>
        <w:t>1、</w:t>
      </w:r>
      <w:r>
        <w:rPr>
          <w:rFonts w:hint="eastAsia" w:ascii="宋体" w:hAnsi="宋体"/>
          <w:color w:val="000000"/>
          <w:sz w:val="24"/>
          <w:szCs w:val="24"/>
        </w:rPr>
        <w:t>处置申请文件递交截止时间及公开评审开始时间均为</w:t>
      </w:r>
      <w:r>
        <w:rPr>
          <w:rFonts w:hint="eastAsia" w:ascii="宋体" w:hAnsi="宋体"/>
          <w:bCs/>
          <w:color w:val="000000"/>
          <w:sz w:val="24"/>
          <w:szCs w:val="24"/>
          <w:lang w:val="en-US" w:eastAsia="zh-CN"/>
        </w:rPr>
        <w:t>2026</w:t>
      </w:r>
      <w:r>
        <w:rPr>
          <w:rFonts w:ascii="宋体" w:hAnsi="宋体"/>
          <w:bCs/>
          <w:color w:val="000000"/>
          <w:sz w:val="24"/>
          <w:szCs w:val="24"/>
        </w:rPr>
        <w:t>年</w:t>
      </w:r>
      <w:r>
        <w:rPr>
          <w:rFonts w:hint="eastAsia" w:ascii="宋体" w:hAnsi="宋体"/>
          <w:bCs/>
          <w:color w:val="000000"/>
          <w:sz w:val="24"/>
          <w:szCs w:val="24"/>
          <w:lang w:val="en-US" w:eastAsia="zh-CN"/>
        </w:rPr>
        <w:t>8</w:t>
      </w:r>
      <w:r>
        <w:rPr>
          <w:rFonts w:ascii="宋体" w:hAnsi="宋体"/>
          <w:bCs/>
          <w:color w:val="000000"/>
          <w:sz w:val="24"/>
          <w:szCs w:val="24"/>
        </w:rPr>
        <w:t>月</w:t>
      </w:r>
      <w:r>
        <w:rPr>
          <w:rFonts w:hint="eastAsia" w:ascii="宋体" w:hAnsi="宋体"/>
          <w:bCs/>
          <w:color w:val="000000"/>
          <w:sz w:val="24"/>
          <w:szCs w:val="24"/>
          <w:lang w:val="en-US" w:eastAsia="zh-CN"/>
        </w:rPr>
        <w:t>12</w:t>
      </w:r>
      <w:r>
        <w:rPr>
          <w:rFonts w:ascii="宋体" w:hAnsi="宋体"/>
          <w:bCs/>
          <w:color w:val="000000"/>
          <w:sz w:val="24"/>
          <w:szCs w:val="24"/>
        </w:rPr>
        <w:t>日</w:t>
      </w:r>
      <w:r>
        <w:rPr>
          <w:rFonts w:hint="eastAsia" w:ascii="宋体" w:hAnsi="宋体"/>
          <w:bCs/>
          <w:color w:val="000000"/>
          <w:sz w:val="24"/>
          <w:szCs w:val="24"/>
          <w:lang w:val="en-US" w:eastAsia="zh-CN"/>
        </w:rPr>
        <w:t>15</w:t>
      </w:r>
      <w:r>
        <w:rPr>
          <w:rFonts w:hint="eastAsia" w:ascii="宋体" w:hAnsi="宋体"/>
          <w:color w:val="000000"/>
          <w:sz w:val="24"/>
          <w:szCs w:val="24"/>
        </w:rPr>
        <w:t>时</w:t>
      </w:r>
      <w:r>
        <w:rPr>
          <w:rFonts w:hint="eastAsia" w:ascii="宋体" w:hAnsi="宋体"/>
          <w:bCs/>
          <w:color w:val="000000"/>
          <w:sz w:val="24"/>
          <w:szCs w:val="24"/>
          <w:lang w:val="en-US" w:eastAsia="zh-CN"/>
        </w:rPr>
        <w:t>30</w:t>
      </w:r>
      <w:r>
        <w:rPr>
          <w:rFonts w:hint="eastAsia" w:ascii="宋体" w:hAnsi="宋体"/>
          <w:color w:val="000000"/>
          <w:sz w:val="24"/>
          <w:szCs w:val="24"/>
        </w:rPr>
        <w:t>分（北京时间）</w:t>
      </w:r>
      <w:r>
        <w:rPr>
          <w:rFonts w:hint="eastAsia" w:ascii="宋体" w:hAnsi="宋体"/>
          <w:color w:val="000000"/>
          <w:sz w:val="24"/>
          <w:szCs w:val="24"/>
          <w:lang w:eastAsia="zh-CN"/>
        </w:rPr>
        <w:t>。</w:t>
      </w:r>
    </w:p>
    <w:p w14:paraId="06E1E535">
      <w:pPr>
        <w:keepNext w:val="0"/>
        <w:keepLines w:val="0"/>
        <w:pageBreakBefore w:val="0"/>
        <w:kinsoku/>
        <w:wordWrap/>
        <w:overflowPunct/>
        <w:topLinePunct w:val="0"/>
        <w:autoSpaceDE/>
        <w:autoSpaceDN/>
        <w:bidi w:val="0"/>
        <w:adjustRightInd/>
        <w:snapToGrid/>
        <w:spacing w:line="360" w:lineRule="exact"/>
        <w:ind w:firstLine="480" w:firstLineChars="200"/>
        <w:jc w:val="left"/>
        <w:rPr>
          <w:rFonts w:ascii="宋体" w:hAnsi="宋体"/>
          <w:sz w:val="24"/>
          <w:szCs w:val="24"/>
        </w:rPr>
      </w:pPr>
      <w:r>
        <w:rPr>
          <w:rFonts w:hint="eastAsia" w:ascii="宋体" w:hAnsi="宋体"/>
          <w:bCs/>
          <w:color w:val="000000"/>
          <w:sz w:val="24"/>
          <w:szCs w:val="24"/>
          <w:lang w:val="en-US" w:eastAsia="zh-CN"/>
        </w:rPr>
        <w:t>2、</w:t>
      </w:r>
      <w:r>
        <w:rPr>
          <w:rFonts w:hint="eastAsia" w:ascii="宋体" w:hAnsi="宋体"/>
          <w:bCs/>
          <w:color w:val="000000"/>
          <w:sz w:val="24"/>
          <w:szCs w:val="24"/>
        </w:rPr>
        <w:t>处置申请文件递交方式</w:t>
      </w:r>
    </w:p>
    <w:p w14:paraId="2A754B61">
      <w:pPr>
        <w:keepNext w:val="0"/>
        <w:keepLines w:val="0"/>
        <w:pageBreakBefore w:val="0"/>
        <w:kinsoku/>
        <w:wordWrap/>
        <w:overflowPunct/>
        <w:topLinePunct w:val="0"/>
        <w:autoSpaceDE/>
        <w:autoSpaceDN/>
        <w:bidi w:val="0"/>
        <w:adjustRightInd/>
        <w:snapToGrid/>
        <w:spacing w:line="360" w:lineRule="exact"/>
        <w:ind w:firstLine="480" w:firstLineChars="200"/>
        <w:rPr>
          <w:rFonts w:ascii="宋体" w:hAnsi="宋体"/>
          <w:color w:val="000000"/>
          <w:sz w:val="24"/>
          <w:szCs w:val="24"/>
        </w:rPr>
      </w:pPr>
      <w:r>
        <w:rPr>
          <w:rFonts w:hint="eastAsia" w:ascii="宋体" w:hAnsi="宋体"/>
          <w:color w:val="000000"/>
          <w:sz w:val="24"/>
          <w:szCs w:val="24"/>
        </w:rPr>
        <w:t>本次文件递交方式采用线下递交，具体如下：</w:t>
      </w:r>
    </w:p>
    <w:p w14:paraId="72A936BC">
      <w:pPr>
        <w:keepNext w:val="0"/>
        <w:keepLines w:val="0"/>
        <w:pageBreakBefore w:val="0"/>
        <w:kinsoku/>
        <w:wordWrap/>
        <w:overflowPunct/>
        <w:topLinePunct w:val="0"/>
        <w:autoSpaceDE/>
        <w:autoSpaceDN/>
        <w:bidi w:val="0"/>
        <w:adjustRightInd/>
        <w:snapToGrid/>
        <w:spacing w:line="360" w:lineRule="exact"/>
        <w:ind w:firstLine="480" w:firstLineChars="200"/>
        <w:jc w:val="left"/>
        <w:rPr>
          <w:rFonts w:hint="eastAsia" w:ascii="宋体" w:hAnsi="宋体" w:eastAsia="宋体"/>
          <w:bCs/>
          <w:color w:val="000000"/>
          <w:sz w:val="24"/>
          <w:szCs w:val="24"/>
          <w:lang w:eastAsia="zh-CN"/>
        </w:rPr>
      </w:pPr>
      <w:r>
        <w:rPr>
          <w:rFonts w:hint="eastAsia" w:ascii="宋体" w:hAnsi="宋体"/>
          <w:color w:val="000000"/>
          <w:sz w:val="24"/>
          <w:szCs w:val="24"/>
        </w:rPr>
        <w:t>文件递交及公开评审地点：</w:t>
      </w:r>
      <w:r>
        <w:rPr>
          <w:rFonts w:hint="eastAsia" w:ascii="宋体" w:hAnsi="宋体"/>
          <w:sz w:val="24"/>
          <w:szCs w:val="24"/>
          <w:lang w:val="en-US" w:eastAsia="zh-CN"/>
        </w:rPr>
        <w:t>云南省楚雄州禄丰市勤丰镇沙龙村</w:t>
      </w:r>
      <w:bookmarkStart w:id="1" w:name="_GoBack"/>
      <w:bookmarkEnd w:id="1"/>
      <w:r>
        <w:rPr>
          <w:rFonts w:hint="eastAsia" w:ascii="宋体" w:hAnsi="宋体"/>
          <w:sz w:val="24"/>
          <w:szCs w:val="24"/>
          <w:lang w:val="en-US" w:eastAsia="zh-CN"/>
        </w:rPr>
        <w:t>，天宝动物营养科技股份有限公司</w:t>
      </w:r>
      <w:r>
        <w:rPr>
          <w:rFonts w:hint="eastAsia" w:ascii="宋体" w:hAnsi="宋体"/>
          <w:color w:val="000000"/>
          <w:sz w:val="24"/>
          <w:szCs w:val="24"/>
        </w:rPr>
        <w:t xml:space="preserve">， </w:t>
      </w:r>
      <w:r>
        <w:rPr>
          <w:rFonts w:hint="eastAsia" w:ascii="宋体" w:hAnsi="宋体"/>
          <w:color w:val="000000"/>
          <w:sz w:val="24"/>
          <w:szCs w:val="24"/>
          <w:lang w:val="en-US" w:eastAsia="zh-CN"/>
        </w:rPr>
        <w:t>晁女士</w:t>
      </w:r>
      <w:r>
        <w:rPr>
          <w:rFonts w:hint="eastAsia" w:ascii="宋体" w:hAnsi="宋体"/>
          <w:color w:val="000000"/>
          <w:sz w:val="24"/>
          <w:szCs w:val="24"/>
        </w:rPr>
        <w:t xml:space="preserve">收 </w:t>
      </w:r>
      <w:r>
        <w:rPr>
          <w:rFonts w:hint="eastAsia" w:ascii="宋体" w:hAnsi="宋体"/>
          <w:color w:val="000000"/>
          <w:sz w:val="24"/>
          <w:szCs w:val="24"/>
          <w:lang w:val="en-US" w:eastAsia="zh-CN"/>
        </w:rPr>
        <w:t>13529715219（邮寄请用顺丰速运）</w:t>
      </w:r>
      <w:r>
        <w:rPr>
          <w:rFonts w:hint="eastAsia" w:ascii="宋体" w:hAnsi="宋体"/>
          <w:bCs/>
          <w:color w:val="000000"/>
          <w:sz w:val="24"/>
          <w:szCs w:val="24"/>
          <w:lang w:eastAsia="zh-CN"/>
        </w:rPr>
        <w:t>。</w:t>
      </w:r>
    </w:p>
    <w:p w14:paraId="598846D8">
      <w:pPr>
        <w:keepNext w:val="0"/>
        <w:keepLines w:val="0"/>
        <w:pageBreakBefore w:val="0"/>
        <w:widowControl/>
        <w:kinsoku/>
        <w:wordWrap/>
        <w:overflowPunct/>
        <w:topLinePunct w:val="0"/>
        <w:autoSpaceDE/>
        <w:autoSpaceDN/>
        <w:bidi w:val="0"/>
        <w:adjustRightInd/>
        <w:snapToGrid/>
        <w:spacing w:line="360" w:lineRule="exact"/>
        <w:ind w:firstLine="480" w:firstLineChars="200"/>
        <w:rPr>
          <w:rFonts w:hint="default" w:ascii="宋体" w:hAnsi="宋体"/>
          <w:sz w:val="24"/>
          <w:szCs w:val="24"/>
          <w:lang w:val="en-US"/>
        </w:rPr>
      </w:pPr>
      <w:r>
        <w:rPr>
          <w:rFonts w:hint="eastAsia" w:ascii="宋体" w:hAnsi="宋体"/>
          <w:bCs/>
          <w:color w:val="000000"/>
          <w:sz w:val="24"/>
          <w:szCs w:val="24"/>
        </w:rPr>
        <w:t>公开评审地点：</w:t>
      </w:r>
      <w:r>
        <w:rPr>
          <w:rFonts w:hint="eastAsia" w:ascii="宋体" w:hAnsi="宋体"/>
          <w:bCs/>
          <w:color w:val="000000"/>
          <w:sz w:val="24"/>
          <w:szCs w:val="24"/>
          <w:lang w:val="en-US" w:eastAsia="zh-CN"/>
        </w:rPr>
        <w:t>云</w:t>
      </w:r>
      <w:r>
        <w:rPr>
          <w:rFonts w:hint="eastAsia" w:ascii="宋体" w:hAnsi="宋体"/>
          <w:sz w:val="24"/>
          <w:szCs w:val="24"/>
          <w:lang w:val="en-US" w:eastAsia="zh-CN"/>
        </w:rPr>
        <w:t>南省楚雄州禄丰市勤丰镇沙龙村天宝动物营养科技股份有限公司开标室。</w:t>
      </w:r>
    </w:p>
    <w:p w14:paraId="7E2D609D">
      <w:pPr>
        <w:keepNext w:val="0"/>
        <w:keepLines w:val="0"/>
        <w:pageBreakBefore w:val="0"/>
        <w:kinsoku/>
        <w:wordWrap/>
        <w:overflowPunct/>
        <w:topLinePunct w:val="0"/>
        <w:autoSpaceDE/>
        <w:autoSpaceDN/>
        <w:bidi w:val="0"/>
        <w:adjustRightInd/>
        <w:snapToGrid/>
        <w:spacing w:line="360" w:lineRule="exact"/>
        <w:ind w:firstLine="482" w:firstLineChars="200"/>
        <w:jc w:val="left"/>
        <w:rPr>
          <w:rFonts w:ascii="宋体" w:hAnsi="宋体" w:cs="黑体"/>
          <w:b/>
          <w:bCs w:val="0"/>
          <w:color w:val="000000"/>
          <w:kern w:val="0"/>
          <w:sz w:val="24"/>
          <w:szCs w:val="24"/>
        </w:rPr>
      </w:pPr>
      <w:r>
        <w:rPr>
          <w:rFonts w:hint="eastAsia" w:ascii="宋体" w:hAnsi="宋体" w:cs="黑体"/>
          <w:b/>
          <w:bCs w:val="0"/>
          <w:color w:val="000000"/>
          <w:kern w:val="0"/>
          <w:sz w:val="24"/>
          <w:szCs w:val="24"/>
        </w:rPr>
        <w:t>六、澄清及修改</w:t>
      </w:r>
    </w:p>
    <w:p w14:paraId="673D2333">
      <w:pPr>
        <w:keepNext w:val="0"/>
        <w:keepLines w:val="0"/>
        <w:pageBreakBefore w:val="0"/>
        <w:kinsoku/>
        <w:wordWrap/>
        <w:overflowPunct/>
        <w:topLinePunct w:val="0"/>
        <w:autoSpaceDE/>
        <w:autoSpaceDN/>
        <w:bidi w:val="0"/>
        <w:adjustRightInd/>
        <w:snapToGrid/>
        <w:spacing w:line="360" w:lineRule="exact"/>
        <w:ind w:firstLine="480" w:firstLineChars="200"/>
        <w:jc w:val="left"/>
        <w:rPr>
          <w:rFonts w:ascii="宋体" w:hAnsi="宋体"/>
          <w:color w:val="000000"/>
          <w:sz w:val="24"/>
          <w:szCs w:val="24"/>
        </w:rPr>
      </w:pPr>
      <w:r>
        <w:rPr>
          <w:rFonts w:hint="eastAsia" w:ascii="宋体" w:hAnsi="宋体"/>
          <w:color w:val="000000"/>
          <w:sz w:val="24"/>
          <w:szCs w:val="24"/>
        </w:rPr>
        <w:t>1、处置人如需对已发出的处置文件进行澄清或修改的，应公开发布更正公告，该澄清或修改内容为处置文件的组成部分。</w:t>
      </w:r>
    </w:p>
    <w:p w14:paraId="2324BD5F">
      <w:pPr>
        <w:keepNext w:val="0"/>
        <w:keepLines w:val="0"/>
        <w:pageBreakBefore w:val="0"/>
        <w:kinsoku/>
        <w:wordWrap/>
        <w:overflowPunct/>
        <w:topLinePunct w:val="0"/>
        <w:autoSpaceDE/>
        <w:autoSpaceDN/>
        <w:bidi w:val="0"/>
        <w:adjustRightInd/>
        <w:snapToGrid/>
        <w:spacing w:line="360" w:lineRule="exact"/>
        <w:ind w:firstLine="480" w:firstLineChars="200"/>
        <w:jc w:val="left"/>
        <w:rPr>
          <w:rFonts w:hint="eastAsia" w:ascii="宋体" w:hAnsi="宋体"/>
          <w:b w:val="0"/>
          <w:bCs w:val="0"/>
          <w:color w:val="auto"/>
          <w:sz w:val="24"/>
          <w:szCs w:val="24"/>
        </w:rPr>
      </w:pPr>
      <w:r>
        <w:rPr>
          <w:rFonts w:hint="eastAsia" w:ascii="宋体" w:hAnsi="宋体"/>
          <w:color w:val="auto"/>
          <w:sz w:val="24"/>
          <w:szCs w:val="24"/>
        </w:rPr>
        <w:t>2、意向买受人认为需要对处置文件进行澄</w:t>
      </w:r>
      <w:r>
        <w:rPr>
          <w:rFonts w:hint="eastAsia" w:ascii="宋体" w:hAnsi="宋体"/>
          <w:b w:val="0"/>
          <w:bCs w:val="0"/>
          <w:color w:val="auto"/>
          <w:sz w:val="24"/>
          <w:szCs w:val="24"/>
        </w:rPr>
        <w:t>清的，可向处置人提出申请（截止时间</w:t>
      </w:r>
      <w:r>
        <w:rPr>
          <w:rFonts w:hint="eastAsia" w:ascii="宋体" w:hAnsi="宋体"/>
          <w:b w:val="0"/>
          <w:bCs w:val="0"/>
          <w:color w:val="auto"/>
          <w:sz w:val="24"/>
          <w:szCs w:val="24"/>
          <w:lang w:val="en-US" w:eastAsia="zh-CN"/>
        </w:rPr>
        <w:t>2026</w:t>
      </w:r>
      <w:r>
        <w:rPr>
          <w:rFonts w:ascii="宋体" w:hAnsi="宋体"/>
          <w:b w:val="0"/>
          <w:bCs w:val="0"/>
          <w:color w:val="auto"/>
          <w:sz w:val="24"/>
          <w:szCs w:val="24"/>
        </w:rPr>
        <w:t>年</w:t>
      </w:r>
      <w:r>
        <w:rPr>
          <w:rFonts w:hint="eastAsia" w:ascii="宋体" w:hAnsi="宋体"/>
          <w:b w:val="0"/>
          <w:bCs w:val="0"/>
          <w:color w:val="auto"/>
          <w:sz w:val="24"/>
          <w:szCs w:val="24"/>
          <w:lang w:val="en-US" w:eastAsia="zh-CN"/>
        </w:rPr>
        <w:t>8</w:t>
      </w:r>
      <w:r>
        <w:rPr>
          <w:rFonts w:ascii="宋体" w:hAnsi="宋体"/>
          <w:b w:val="0"/>
          <w:bCs w:val="0"/>
          <w:color w:val="auto"/>
          <w:sz w:val="24"/>
          <w:szCs w:val="24"/>
        </w:rPr>
        <w:t>月</w:t>
      </w:r>
      <w:r>
        <w:rPr>
          <w:rFonts w:hint="eastAsia" w:ascii="宋体" w:hAnsi="宋体"/>
          <w:b w:val="0"/>
          <w:bCs w:val="0"/>
          <w:color w:val="auto"/>
          <w:sz w:val="24"/>
          <w:szCs w:val="24"/>
          <w:lang w:val="en-US" w:eastAsia="zh-CN"/>
        </w:rPr>
        <w:t>14</w:t>
      </w:r>
      <w:r>
        <w:rPr>
          <w:rFonts w:ascii="宋体" w:hAnsi="宋体"/>
          <w:b w:val="0"/>
          <w:bCs w:val="0"/>
          <w:color w:val="auto"/>
          <w:sz w:val="24"/>
          <w:szCs w:val="24"/>
        </w:rPr>
        <w:t>日</w:t>
      </w:r>
      <w:r>
        <w:rPr>
          <w:rFonts w:hint="eastAsia" w:ascii="宋体" w:hAnsi="宋体"/>
          <w:b w:val="0"/>
          <w:bCs w:val="0"/>
          <w:color w:val="auto"/>
          <w:sz w:val="24"/>
          <w:szCs w:val="24"/>
          <w:lang w:val="en-US" w:eastAsia="zh-CN"/>
        </w:rPr>
        <w:t>17</w:t>
      </w:r>
      <w:r>
        <w:rPr>
          <w:rFonts w:hint="eastAsia" w:ascii="宋体" w:hAnsi="宋体"/>
          <w:b w:val="0"/>
          <w:bCs w:val="0"/>
          <w:color w:val="auto"/>
          <w:sz w:val="24"/>
          <w:szCs w:val="24"/>
        </w:rPr>
        <w:t>时），但处置人可决定是否采纳申请事项。</w:t>
      </w:r>
    </w:p>
    <w:p w14:paraId="22DB2E94">
      <w:pPr>
        <w:keepNext w:val="0"/>
        <w:keepLines w:val="0"/>
        <w:pageBreakBefore w:val="0"/>
        <w:kinsoku/>
        <w:wordWrap/>
        <w:overflowPunct/>
        <w:topLinePunct w:val="0"/>
        <w:autoSpaceDE/>
        <w:autoSpaceDN/>
        <w:bidi w:val="0"/>
        <w:adjustRightInd/>
        <w:snapToGrid/>
        <w:spacing w:line="360" w:lineRule="exact"/>
        <w:ind w:firstLine="482" w:firstLineChars="200"/>
        <w:jc w:val="left"/>
      </w:pPr>
      <w:r>
        <w:rPr>
          <w:rFonts w:hint="eastAsia" w:ascii="宋体" w:hAnsi="宋体" w:eastAsia="宋体" w:cs="Times New Roman"/>
          <w:b/>
          <w:bCs/>
          <w:color w:val="auto"/>
          <w:sz w:val="24"/>
          <w:szCs w:val="24"/>
          <w:lang w:val="en-US" w:eastAsia="zh-CN"/>
        </w:rPr>
        <w:t>七</w:t>
      </w:r>
      <w:r>
        <w:rPr>
          <w:rFonts w:hint="eastAsia" w:ascii="宋体" w:hAnsi="宋体" w:eastAsia="宋体" w:cs="Times New Roman"/>
          <w:b/>
          <w:bCs/>
          <w:color w:val="auto"/>
          <w:sz w:val="24"/>
          <w:szCs w:val="24"/>
        </w:rPr>
        <w:t>、保证金：</w:t>
      </w:r>
      <w:r>
        <w:rPr>
          <w:rFonts w:hint="eastAsia" w:ascii="宋体" w:hAnsi="宋体" w:eastAsia="宋体" w:cs="Times New Roman"/>
          <w:b w:val="0"/>
          <w:bCs w:val="0"/>
          <w:color w:val="auto"/>
          <w:sz w:val="24"/>
          <w:szCs w:val="24"/>
        </w:rPr>
        <w:t>本次处置需缴纳保证金</w:t>
      </w:r>
      <w:r>
        <w:rPr>
          <w:rFonts w:hint="eastAsia" w:ascii="宋体" w:hAnsi="宋体" w:eastAsia="宋体" w:cs="Times New Roman"/>
          <w:b w:val="0"/>
          <w:bCs w:val="0"/>
          <w:color w:val="auto"/>
          <w:sz w:val="24"/>
          <w:szCs w:val="24"/>
          <w:lang w:val="en-US" w:eastAsia="zh-CN"/>
        </w:rPr>
        <w:t>2000.00</w:t>
      </w:r>
      <w:r>
        <w:rPr>
          <w:rFonts w:hint="eastAsia" w:ascii="宋体" w:hAnsi="宋体" w:eastAsia="宋体" w:cs="Times New Roman"/>
          <w:b w:val="0"/>
          <w:bCs w:val="0"/>
          <w:color w:val="auto"/>
          <w:sz w:val="24"/>
          <w:szCs w:val="24"/>
        </w:rPr>
        <w:t>元(大写:</w:t>
      </w:r>
      <w:r>
        <w:rPr>
          <w:rFonts w:hint="eastAsia" w:ascii="宋体" w:hAnsi="宋体" w:eastAsia="宋体" w:cs="Times New Roman"/>
          <w:b w:val="0"/>
          <w:bCs w:val="0"/>
          <w:color w:val="auto"/>
          <w:sz w:val="24"/>
          <w:szCs w:val="24"/>
          <w:lang w:val="en-US" w:eastAsia="zh-CN"/>
        </w:rPr>
        <w:t>贰仟</w:t>
      </w:r>
      <w:r>
        <w:rPr>
          <w:rFonts w:hint="eastAsia" w:ascii="宋体" w:hAnsi="宋体" w:eastAsia="宋体" w:cs="Times New Roman"/>
          <w:b w:val="0"/>
          <w:bCs w:val="0"/>
          <w:color w:val="auto"/>
          <w:sz w:val="24"/>
          <w:szCs w:val="24"/>
        </w:rPr>
        <w:t>元整)，收款信息:天宝动物营养科技股份有限公司，开户行:农业银行楚雄州禄丰县支行金山分理处，帐号:24302201040004599，逾期未交纳保证金的，视为放弃报名，如往期已在</w:t>
      </w:r>
      <w:r>
        <w:rPr>
          <w:rFonts w:hint="eastAsia" w:ascii="宋体" w:hAnsi="宋体" w:eastAsia="宋体" w:cs="Times New Roman"/>
          <w:b w:val="0"/>
          <w:bCs w:val="0"/>
          <w:color w:val="auto"/>
          <w:sz w:val="24"/>
          <w:szCs w:val="24"/>
          <w:lang w:val="en-US" w:eastAsia="zh-CN"/>
        </w:rPr>
        <w:t>天宝</w:t>
      </w:r>
      <w:r>
        <w:rPr>
          <w:rFonts w:hint="eastAsia" w:ascii="宋体" w:hAnsi="宋体" w:eastAsia="宋体" w:cs="Times New Roman"/>
          <w:b w:val="0"/>
          <w:bCs w:val="0"/>
          <w:color w:val="auto"/>
          <w:sz w:val="24"/>
          <w:szCs w:val="24"/>
        </w:rPr>
        <w:t>公司缴纳过处置保证金且一直未退还的本次可不再另缴纳处置保证金。</w:t>
      </w:r>
    </w:p>
    <w:p w14:paraId="0BBAAD2B">
      <w:pPr>
        <w:keepNext w:val="0"/>
        <w:keepLines w:val="0"/>
        <w:pageBreakBefore w:val="0"/>
        <w:kinsoku/>
        <w:wordWrap/>
        <w:overflowPunct/>
        <w:topLinePunct w:val="0"/>
        <w:autoSpaceDE/>
        <w:autoSpaceDN/>
        <w:bidi w:val="0"/>
        <w:adjustRightInd/>
        <w:snapToGrid/>
        <w:spacing w:line="360" w:lineRule="exact"/>
        <w:ind w:firstLine="482" w:firstLineChars="200"/>
        <w:jc w:val="left"/>
        <w:rPr>
          <w:rFonts w:ascii="宋体" w:hAnsi="宋体" w:cs="黑体"/>
          <w:b/>
          <w:bCs w:val="0"/>
          <w:color w:val="auto"/>
          <w:kern w:val="0"/>
          <w:sz w:val="24"/>
          <w:szCs w:val="24"/>
        </w:rPr>
      </w:pPr>
      <w:r>
        <w:rPr>
          <w:rFonts w:hint="eastAsia" w:ascii="宋体" w:hAnsi="宋体" w:cs="黑体"/>
          <w:b/>
          <w:bCs w:val="0"/>
          <w:color w:val="auto"/>
          <w:kern w:val="0"/>
          <w:sz w:val="24"/>
          <w:szCs w:val="24"/>
          <w:lang w:val="en-US" w:eastAsia="zh-CN"/>
        </w:rPr>
        <w:t>八</w:t>
      </w:r>
      <w:r>
        <w:rPr>
          <w:rFonts w:hint="eastAsia" w:ascii="宋体" w:hAnsi="宋体" w:cs="黑体"/>
          <w:b/>
          <w:bCs w:val="0"/>
          <w:color w:val="auto"/>
          <w:kern w:val="0"/>
          <w:sz w:val="24"/>
          <w:szCs w:val="24"/>
        </w:rPr>
        <w:t>、其他</w:t>
      </w:r>
    </w:p>
    <w:p w14:paraId="426A29BA">
      <w:pPr>
        <w:keepNext w:val="0"/>
        <w:keepLines w:val="0"/>
        <w:pageBreakBefore w:val="0"/>
        <w:kinsoku/>
        <w:wordWrap/>
        <w:overflowPunct/>
        <w:topLinePunct w:val="0"/>
        <w:autoSpaceDE/>
        <w:autoSpaceDN/>
        <w:bidi w:val="0"/>
        <w:adjustRightInd/>
        <w:snapToGrid/>
        <w:spacing w:line="360" w:lineRule="exact"/>
        <w:ind w:firstLine="480" w:firstLineChars="200"/>
        <w:jc w:val="left"/>
        <w:rPr>
          <w:rFonts w:hint="eastAsia" w:ascii="宋体" w:hAnsi="宋体" w:eastAsia="宋体"/>
          <w:color w:val="000000"/>
          <w:sz w:val="24"/>
          <w:szCs w:val="24"/>
          <w:lang w:eastAsia="zh-CN"/>
        </w:rPr>
      </w:pPr>
      <w:r>
        <w:rPr>
          <w:rFonts w:hint="eastAsia" w:ascii="宋体" w:hAnsi="宋体"/>
          <w:color w:val="000000"/>
          <w:sz w:val="24"/>
          <w:szCs w:val="24"/>
        </w:rPr>
        <w:t>1、中选人应在中选通知书发出之日起十日内与处置人签订处置合同。因中选人原因造成逾期未与处置人签订处置合同的，视为自动放弃，不退还处置保证金</w:t>
      </w:r>
      <w:r>
        <w:rPr>
          <w:rFonts w:hint="eastAsia" w:ascii="宋体" w:hAnsi="宋体"/>
          <w:color w:val="000000"/>
          <w:sz w:val="24"/>
          <w:szCs w:val="24"/>
          <w:lang w:eastAsia="zh-CN"/>
        </w:rPr>
        <w:t>。</w:t>
      </w:r>
    </w:p>
    <w:p w14:paraId="4F01078D">
      <w:pPr>
        <w:keepNext w:val="0"/>
        <w:keepLines w:val="0"/>
        <w:pageBreakBefore w:val="0"/>
        <w:widowControl/>
        <w:kinsoku/>
        <w:wordWrap/>
        <w:overflowPunct/>
        <w:topLinePunct w:val="0"/>
        <w:autoSpaceDE/>
        <w:autoSpaceDN/>
        <w:bidi w:val="0"/>
        <w:adjustRightInd/>
        <w:snapToGrid/>
        <w:spacing w:line="360" w:lineRule="exact"/>
        <w:ind w:firstLine="480" w:firstLineChars="200"/>
        <w:jc w:val="both"/>
        <w:textAlignment w:val="center"/>
        <w:rPr>
          <w:rFonts w:hint="eastAsia" w:ascii="宋体" w:hAnsi="宋体"/>
          <w:color w:val="000000"/>
          <w:sz w:val="24"/>
          <w:szCs w:val="24"/>
        </w:rPr>
      </w:pPr>
      <w:r>
        <w:rPr>
          <w:rFonts w:hint="eastAsia" w:ascii="宋体" w:hAnsi="宋体"/>
          <w:color w:val="000000"/>
          <w:sz w:val="24"/>
          <w:szCs w:val="24"/>
        </w:rPr>
        <w:t>2、中选人因不可抗力原因不能履行处置合同（可退还处置保证金）或放弃成交的（不退还处置保证金），处置人可依序与其他中选候选人签订处置合同，也可以重新组织处置工作。</w:t>
      </w:r>
    </w:p>
    <w:p w14:paraId="5018DFF9">
      <w:pPr>
        <w:keepNext w:val="0"/>
        <w:keepLines w:val="0"/>
        <w:pageBreakBefore w:val="0"/>
        <w:kinsoku/>
        <w:wordWrap/>
        <w:overflowPunct/>
        <w:topLinePunct w:val="0"/>
        <w:autoSpaceDE/>
        <w:autoSpaceDN/>
        <w:bidi w:val="0"/>
        <w:adjustRightInd/>
        <w:snapToGrid/>
        <w:spacing w:line="360" w:lineRule="exact"/>
        <w:ind w:firstLine="480" w:firstLineChars="200"/>
        <w:jc w:val="left"/>
        <w:rPr>
          <w:rFonts w:hint="default" w:ascii="宋体" w:hAnsi="宋体" w:eastAsia="宋体" w:cs="Times New Roman"/>
          <w:color w:val="000000"/>
          <w:sz w:val="24"/>
          <w:szCs w:val="24"/>
          <w:lang w:val="en-US" w:eastAsia="zh-CN"/>
        </w:rPr>
      </w:pPr>
      <w:r>
        <w:rPr>
          <w:rFonts w:hint="eastAsia" w:ascii="宋体" w:hAnsi="宋体" w:eastAsia="宋体" w:cs="Times New Roman"/>
          <w:color w:val="000000"/>
          <w:sz w:val="24"/>
          <w:szCs w:val="24"/>
          <w:lang w:val="en-US" w:eastAsia="zh-CN"/>
        </w:rPr>
        <w:t>3、处置内容中数量为年度预估量，</w:t>
      </w:r>
      <w:r>
        <w:rPr>
          <w:rFonts w:hint="eastAsia" w:ascii="宋体" w:hAnsi="宋体" w:cs="Times New Roman"/>
          <w:color w:val="000000"/>
          <w:sz w:val="24"/>
          <w:szCs w:val="24"/>
          <w:lang w:val="en-US" w:eastAsia="zh-CN"/>
        </w:rPr>
        <w:t>检测报告为单批次抽样，仅供参考，</w:t>
      </w:r>
      <w:r>
        <w:rPr>
          <w:rFonts w:hint="eastAsia" w:ascii="宋体" w:hAnsi="宋体" w:eastAsia="宋体" w:cs="Times New Roman"/>
          <w:color w:val="000000"/>
          <w:sz w:val="24"/>
          <w:szCs w:val="24"/>
          <w:lang w:val="en-US" w:eastAsia="zh-CN"/>
        </w:rPr>
        <w:t>意向买受人应自行前往标的所在地现场</w:t>
      </w:r>
      <w:r>
        <w:rPr>
          <w:rFonts w:hint="eastAsia" w:ascii="宋体" w:hAnsi="宋体" w:cs="Times New Roman"/>
          <w:color w:val="000000"/>
          <w:sz w:val="24"/>
          <w:szCs w:val="24"/>
          <w:lang w:val="en-US" w:eastAsia="zh-CN"/>
        </w:rPr>
        <w:t>取样自测</w:t>
      </w:r>
      <w:r>
        <w:rPr>
          <w:rFonts w:hint="eastAsia" w:ascii="宋体" w:hAnsi="宋体" w:eastAsia="宋体" w:cs="Times New Roman"/>
          <w:color w:val="000000"/>
          <w:sz w:val="24"/>
          <w:szCs w:val="24"/>
          <w:lang w:val="en-US" w:eastAsia="zh-CN"/>
        </w:rPr>
        <w:t>，并充分了解标的可能存在的风险和瑕疵（包含但不限于单批次转让数量），意向买受人在报名并交纳保证金后，视为充分知晓并认可转让标的可能存在的所有风险及瑕疵，并愿承担一切责任与风险，意向买受人不得以此为由，拒绝履约。</w:t>
      </w:r>
    </w:p>
    <w:p w14:paraId="3A6BDF2C">
      <w:pPr>
        <w:keepNext w:val="0"/>
        <w:keepLines w:val="0"/>
        <w:pageBreakBefore w:val="0"/>
        <w:kinsoku/>
        <w:wordWrap/>
        <w:overflowPunct/>
        <w:topLinePunct w:val="0"/>
        <w:autoSpaceDE/>
        <w:autoSpaceDN/>
        <w:bidi w:val="0"/>
        <w:adjustRightInd/>
        <w:snapToGrid/>
        <w:spacing w:line="360" w:lineRule="exact"/>
        <w:ind w:firstLine="482" w:firstLineChars="200"/>
        <w:rPr>
          <w:rFonts w:ascii="宋体" w:hAnsi="宋体"/>
          <w:b/>
          <w:bCs/>
          <w:sz w:val="24"/>
          <w:szCs w:val="24"/>
        </w:rPr>
      </w:pPr>
      <w:r>
        <w:rPr>
          <w:rFonts w:hint="eastAsia" w:ascii="宋体" w:hAnsi="宋体"/>
          <w:b/>
          <w:bCs/>
          <w:sz w:val="24"/>
          <w:szCs w:val="24"/>
          <w:lang w:val="en-US" w:eastAsia="zh-CN"/>
        </w:rPr>
        <w:t>九</w:t>
      </w:r>
      <w:r>
        <w:rPr>
          <w:rFonts w:ascii="宋体" w:hAnsi="宋体"/>
          <w:b/>
          <w:bCs/>
          <w:sz w:val="24"/>
          <w:szCs w:val="24"/>
        </w:rPr>
        <w:t>、</w:t>
      </w:r>
      <w:r>
        <w:rPr>
          <w:rFonts w:hint="eastAsia" w:ascii="宋体" w:hAnsi="宋体"/>
          <w:b/>
          <w:bCs/>
          <w:sz w:val="24"/>
          <w:szCs w:val="24"/>
        </w:rPr>
        <w:t>处置</w:t>
      </w:r>
      <w:r>
        <w:rPr>
          <w:rFonts w:ascii="宋体" w:hAnsi="宋体"/>
          <w:b/>
          <w:bCs/>
          <w:sz w:val="24"/>
          <w:szCs w:val="24"/>
        </w:rPr>
        <w:t>联系人</w:t>
      </w:r>
    </w:p>
    <w:p w14:paraId="12A7F36C">
      <w:pPr>
        <w:keepNext w:val="0"/>
        <w:keepLines w:val="0"/>
        <w:pageBreakBefore w:val="0"/>
        <w:kinsoku/>
        <w:wordWrap/>
        <w:overflowPunct/>
        <w:topLinePunct w:val="0"/>
        <w:autoSpaceDE/>
        <w:autoSpaceDN/>
        <w:bidi w:val="0"/>
        <w:adjustRightInd/>
        <w:snapToGrid/>
        <w:spacing w:line="360" w:lineRule="exact"/>
        <w:ind w:firstLine="480" w:firstLineChars="200"/>
        <w:rPr>
          <w:rFonts w:hint="default" w:ascii="宋体" w:hAnsi="宋体" w:eastAsia="宋体"/>
          <w:sz w:val="24"/>
          <w:szCs w:val="24"/>
          <w:lang w:val="en-US" w:eastAsia="zh-CN"/>
        </w:rPr>
      </w:pPr>
      <w:r>
        <w:rPr>
          <w:rFonts w:ascii="宋体" w:hAnsi="宋体"/>
          <w:sz w:val="24"/>
          <w:szCs w:val="24"/>
        </w:rPr>
        <w:t>联系人：</w:t>
      </w:r>
      <w:r>
        <w:rPr>
          <w:rFonts w:hint="eastAsia" w:ascii="宋体" w:hAnsi="宋体"/>
          <w:sz w:val="24"/>
          <w:szCs w:val="24"/>
          <w:lang w:val="en-US" w:eastAsia="zh-CN"/>
        </w:rPr>
        <w:t>晁女士</w:t>
      </w:r>
    </w:p>
    <w:p w14:paraId="5EFC54E3">
      <w:pPr>
        <w:keepNext w:val="0"/>
        <w:keepLines w:val="0"/>
        <w:pageBreakBefore w:val="0"/>
        <w:kinsoku/>
        <w:wordWrap/>
        <w:overflowPunct/>
        <w:topLinePunct w:val="0"/>
        <w:autoSpaceDE/>
        <w:autoSpaceDN/>
        <w:bidi w:val="0"/>
        <w:adjustRightInd/>
        <w:snapToGrid/>
        <w:spacing w:line="360" w:lineRule="exact"/>
        <w:ind w:firstLine="480" w:firstLineChars="200"/>
        <w:rPr>
          <w:rFonts w:hint="default" w:ascii="宋体" w:hAnsi="宋体" w:eastAsia="宋体"/>
          <w:sz w:val="24"/>
          <w:szCs w:val="24"/>
          <w:lang w:val="en-US" w:eastAsia="zh-CN"/>
        </w:rPr>
      </w:pPr>
      <w:r>
        <w:rPr>
          <w:rFonts w:ascii="宋体" w:hAnsi="宋体"/>
          <w:sz w:val="24"/>
          <w:szCs w:val="24"/>
        </w:rPr>
        <w:t>联系电话：</w:t>
      </w:r>
      <w:r>
        <w:rPr>
          <w:rFonts w:hint="eastAsia" w:ascii="宋体" w:hAnsi="宋体"/>
          <w:sz w:val="24"/>
          <w:szCs w:val="24"/>
          <w:lang w:val="en-US" w:eastAsia="zh-CN"/>
        </w:rPr>
        <w:t>13529715219</w:t>
      </w:r>
    </w:p>
    <w:p w14:paraId="6156755B">
      <w:pPr>
        <w:keepNext w:val="0"/>
        <w:keepLines w:val="0"/>
        <w:pageBreakBefore w:val="0"/>
        <w:kinsoku/>
        <w:wordWrap/>
        <w:overflowPunct/>
        <w:topLinePunct w:val="0"/>
        <w:autoSpaceDE/>
        <w:autoSpaceDN/>
        <w:bidi w:val="0"/>
        <w:adjustRightInd/>
        <w:snapToGrid/>
        <w:spacing w:line="360" w:lineRule="exact"/>
        <w:ind w:firstLine="480" w:firstLineChars="200"/>
        <w:jc w:val="left"/>
        <w:rPr>
          <w:rFonts w:hint="default" w:ascii="宋体" w:hAnsi="宋体" w:eastAsia="宋体"/>
          <w:sz w:val="24"/>
          <w:szCs w:val="24"/>
          <w:lang w:val="en-US" w:eastAsia="zh-CN"/>
        </w:rPr>
      </w:pPr>
      <w:r>
        <w:rPr>
          <w:rFonts w:ascii="宋体" w:hAnsi="宋体"/>
          <w:sz w:val="24"/>
          <w:szCs w:val="24"/>
        </w:rPr>
        <w:t>地址：</w:t>
      </w:r>
      <w:r>
        <w:rPr>
          <w:rFonts w:hint="eastAsia" w:ascii="宋体" w:hAnsi="宋体"/>
          <w:sz w:val="24"/>
          <w:szCs w:val="24"/>
          <w:lang w:val="en-US" w:eastAsia="zh-CN"/>
        </w:rPr>
        <w:t>云南省楚雄州禄丰市勤丰镇沙龙村，天宝动物营养科技股份有限公司</w:t>
      </w:r>
    </w:p>
    <w:p w14:paraId="0D0D8FA7">
      <w:pPr>
        <w:pStyle w:val="30"/>
        <w:keepNext w:val="0"/>
        <w:keepLines w:val="0"/>
        <w:pageBreakBefore w:val="0"/>
        <w:kinsoku/>
        <w:wordWrap/>
        <w:overflowPunct/>
        <w:topLinePunct w:val="0"/>
        <w:autoSpaceDE/>
        <w:autoSpaceDN/>
        <w:bidi w:val="0"/>
        <w:adjustRightInd/>
        <w:snapToGrid/>
        <w:spacing w:line="360" w:lineRule="exact"/>
        <w:rPr>
          <w:rFonts w:ascii="宋体" w:hAnsi="宋体"/>
          <w:sz w:val="24"/>
          <w:szCs w:val="24"/>
        </w:rPr>
      </w:pPr>
    </w:p>
    <w:p w14:paraId="08C3306E">
      <w:pPr>
        <w:keepNext w:val="0"/>
        <w:keepLines w:val="0"/>
        <w:pageBreakBefore w:val="0"/>
        <w:kinsoku/>
        <w:wordWrap/>
        <w:overflowPunct/>
        <w:topLinePunct w:val="0"/>
        <w:autoSpaceDE/>
        <w:autoSpaceDN/>
        <w:bidi w:val="0"/>
        <w:adjustRightInd/>
        <w:snapToGrid/>
        <w:spacing w:line="360" w:lineRule="exact"/>
        <w:ind w:firstLine="4800" w:firstLineChars="2000"/>
        <w:jc w:val="left"/>
        <w:rPr>
          <w:rFonts w:hint="default" w:ascii="宋体" w:hAnsi="宋体" w:eastAsia="宋体"/>
          <w:sz w:val="24"/>
          <w:szCs w:val="24"/>
          <w:lang w:val="en-US" w:eastAsia="zh-CN"/>
        </w:rPr>
      </w:pPr>
      <w:r>
        <w:rPr>
          <w:rFonts w:hint="eastAsia" w:ascii="宋体" w:hAnsi="宋体"/>
          <w:sz w:val="24"/>
          <w:szCs w:val="24"/>
          <w:lang w:val="en-US" w:eastAsia="zh-CN"/>
        </w:rPr>
        <w:t>天宝动物营养科技股份有限公司</w:t>
      </w:r>
    </w:p>
    <w:p w14:paraId="2728AE2A">
      <w:pPr>
        <w:keepNext w:val="0"/>
        <w:keepLines w:val="0"/>
        <w:pageBreakBefore w:val="0"/>
        <w:kinsoku/>
        <w:wordWrap/>
        <w:overflowPunct/>
        <w:topLinePunct w:val="0"/>
        <w:autoSpaceDE/>
        <w:autoSpaceDN/>
        <w:bidi w:val="0"/>
        <w:adjustRightInd/>
        <w:snapToGrid/>
        <w:spacing w:line="360" w:lineRule="exact"/>
        <w:ind w:firstLine="4560" w:firstLineChars="1900"/>
        <w:jc w:val="center"/>
        <w:rPr>
          <w:rFonts w:ascii="宋体" w:hAnsi="宋体"/>
          <w:sz w:val="24"/>
          <w:szCs w:val="24"/>
        </w:rPr>
      </w:pPr>
      <w:r>
        <w:rPr>
          <w:rFonts w:hint="eastAsia" w:ascii="宋体" w:hAnsi="宋体"/>
          <w:sz w:val="24"/>
          <w:szCs w:val="24"/>
          <w:lang w:val="en-US" w:eastAsia="zh-CN"/>
        </w:rPr>
        <w:t>2026</w:t>
      </w:r>
      <w:r>
        <w:rPr>
          <w:rFonts w:ascii="宋体" w:hAnsi="宋体"/>
          <w:sz w:val="24"/>
          <w:szCs w:val="24"/>
        </w:rPr>
        <w:t>年</w:t>
      </w:r>
      <w:r>
        <w:rPr>
          <w:rFonts w:hint="eastAsia" w:ascii="宋体" w:hAnsi="宋体"/>
          <w:sz w:val="24"/>
          <w:szCs w:val="24"/>
          <w:lang w:val="en-US" w:eastAsia="zh-CN"/>
        </w:rPr>
        <w:t>8</w:t>
      </w:r>
      <w:r>
        <w:rPr>
          <w:rFonts w:ascii="宋体" w:hAnsi="宋体"/>
          <w:sz w:val="24"/>
          <w:szCs w:val="24"/>
        </w:rPr>
        <w:t>月</w:t>
      </w:r>
      <w:r>
        <w:rPr>
          <w:rFonts w:hint="eastAsia" w:ascii="宋体" w:hAnsi="宋体"/>
          <w:sz w:val="24"/>
          <w:szCs w:val="24"/>
          <w:lang w:val="en-US" w:eastAsia="zh-CN"/>
        </w:rPr>
        <w:t>6</w:t>
      </w:r>
      <w:r>
        <w:rPr>
          <w:rFonts w:ascii="宋体" w:hAnsi="宋体"/>
          <w:sz w:val="24"/>
          <w:szCs w:val="24"/>
        </w:rPr>
        <w:t>日</w:t>
      </w:r>
    </w:p>
    <w:p w14:paraId="155A46DC">
      <w:pPr>
        <w:spacing w:line="400" w:lineRule="exact"/>
        <w:rPr>
          <w:rFonts w:ascii="宋体" w:hAnsi="宋体"/>
          <w:sz w:val="24"/>
          <w:szCs w:val="24"/>
        </w:rPr>
      </w:pPr>
      <w:bookmarkStart w:id="0" w:name="_Toc15116"/>
    </w:p>
    <w:p w14:paraId="785D0C09">
      <w:pPr>
        <w:pStyle w:val="2"/>
        <w:rPr>
          <w:rFonts w:ascii="宋体" w:hAnsi="宋体"/>
          <w:sz w:val="24"/>
          <w:szCs w:val="24"/>
        </w:rPr>
      </w:pPr>
    </w:p>
    <w:p w14:paraId="7F9CBC41">
      <w:pPr>
        <w:pStyle w:val="2"/>
        <w:rPr>
          <w:rFonts w:ascii="宋体" w:hAnsi="宋体"/>
          <w:sz w:val="24"/>
          <w:szCs w:val="24"/>
        </w:rPr>
      </w:pPr>
    </w:p>
    <w:p w14:paraId="2240AB9E">
      <w:pPr>
        <w:pStyle w:val="2"/>
        <w:rPr>
          <w:rFonts w:ascii="宋体" w:hAnsi="宋体"/>
          <w:sz w:val="24"/>
          <w:szCs w:val="24"/>
        </w:rPr>
      </w:pPr>
    </w:p>
    <w:bookmarkEnd w:id="0"/>
    <w:p w14:paraId="1F110AD6">
      <w:pPr>
        <w:pStyle w:val="2"/>
        <w:spacing w:beforeAutospacing="0" w:afterAutospacing="0" w:line="240" w:lineRule="auto"/>
        <w:ind w:left="0" w:leftChars="0" w:firstLine="0" w:firstLineChars="0"/>
        <w:rPr>
          <w:rFonts w:hint="default"/>
          <w:lang w:val="en-US" w:eastAsia="zh-CN"/>
        </w:rPr>
      </w:pPr>
      <w:r>
        <w:rPr>
          <w:rFonts w:hint="eastAsia"/>
          <w:lang w:val="en-US" w:eastAsia="zh-CN"/>
        </w:rPr>
        <w:t>附件2：处置物资检测报告</w:t>
      </w:r>
    </w:p>
    <w:p w14:paraId="5928858D">
      <w:pPr>
        <w:pStyle w:val="2"/>
        <w:spacing w:before="413" w:beforeLines="132" w:beforeAutospacing="0" w:after="530" w:afterLines="169" w:afterAutospacing="0"/>
        <w:ind w:left="0" w:leftChars="0" w:firstLine="0" w:firstLineChars="0"/>
        <w:rPr>
          <w:rFonts w:hint="default"/>
          <w:lang w:val="en-US" w:eastAsia="zh-CN"/>
        </w:rPr>
      </w:pPr>
      <w:r>
        <w:rPr>
          <w:rFonts w:hint="default"/>
          <w:lang w:val="en-US" w:eastAsia="zh-CN"/>
        </w:rPr>
        <w:drawing>
          <wp:anchor distT="0" distB="0" distL="114300" distR="114300" simplePos="0" relativeHeight="251659264" behindDoc="1" locked="0" layoutInCell="1" allowOverlap="1">
            <wp:simplePos x="0" y="0"/>
            <wp:positionH relativeFrom="column">
              <wp:posOffset>-344170</wp:posOffset>
            </wp:positionH>
            <wp:positionV relativeFrom="paragraph">
              <wp:posOffset>382270</wp:posOffset>
            </wp:positionV>
            <wp:extent cx="6127115" cy="7686675"/>
            <wp:effectExtent l="0" t="0" r="14605" b="9525"/>
            <wp:wrapThrough wrapText="bothSides">
              <wp:wrapPolygon>
                <wp:start x="0" y="0"/>
                <wp:lineTo x="0" y="21541"/>
                <wp:lineTo x="21544" y="21541"/>
                <wp:lineTo x="21544" y="0"/>
                <wp:lineTo x="0" y="0"/>
              </wp:wrapPolygon>
            </wp:wrapThrough>
            <wp:docPr id="1" name="图片 1" descr="2071f04f6bd87222444861223c6c53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2071f04f6bd87222444861223c6c53d3"/>
                    <pic:cNvPicPr>
                      <a:picLocks noChangeAspect="1"/>
                    </pic:cNvPicPr>
                  </pic:nvPicPr>
                  <pic:blipFill>
                    <a:blip r:embed="rId5"/>
                    <a:stretch>
                      <a:fillRect/>
                    </a:stretch>
                  </pic:blipFill>
                  <pic:spPr>
                    <a:xfrm>
                      <a:off x="0" y="0"/>
                      <a:ext cx="6127115" cy="7686675"/>
                    </a:xfrm>
                    <a:prstGeom prst="rect">
                      <a:avLst/>
                    </a:prstGeom>
                  </pic:spPr>
                </pic:pic>
              </a:graphicData>
            </a:graphic>
          </wp:anchor>
        </w:drawing>
      </w:r>
    </w:p>
    <w:sectPr>
      <w:footerReference r:id="rId3" w:type="default"/>
      <w:pgSz w:w="11906" w:h="16838"/>
      <w:pgMar w:top="2098" w:right="1078" w:bottom="1985" w:left="116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93B288B8-B841-4C3E-9B95-E764E9227AD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embedRegular r:id="rId2" w:fontKey="{9FF36493-125E-491E-92CD-C39274C5F304}"/>
  </w:font>
  <w:font w:name="___WRD_EMBED_SUB_46">
    <w:altName w:val="宋体"/>
    <w:panose1 w:val="00000000000000000000"/>
    <w:charset w:val="86"/>
    <w:family w:val="modern"/>
    <w:pitch w:val="default"/>
    <w:sig w:usb0="00000000" w:usb1="00000000" w:usb2="00000000" w:usb3="00000000" w:csb0="00040000" w:csb1="00000000"/>
    <w:embedRegular r:id="rId3" w:fontKey="{65228B80-5136-4D49-B580-B4BD427E56CC}"/>
  </w:font>
  <w:font w:name="Wingdings 2">
    <w:panose1 w:val="05020102010507070707"/>
    <w:charset w:val="02"/>
    <w:family w:val="roman"/>
    <w:pitch w:val="default"/>
    <w:sig w:usb0="00000000" w:usb1="00000000" w:usb2="00000000" w:usb3="00000000" w:csb0="80000000" w:csb1="00000000"/>
    <w:embedRegular r:id="rId4" w:fontKey="{4F94DD23-FDE4-4369-B055-02608AEED7FF}"/>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E2EF6F">
    <w:pPr>
      <w:pStyle w:val="15"/>
      <w:jc w:val="center"/>
    </w:pPr>
    <w:r>
      <w:fldChar w:fldCharType="begin"/>
    </w:r>
    <w:r>
      <w:instrText xml:space="preserve"> PAGE   \* MERGEFORMAT </w:instrText>
    </w:r>
    <w:r>
      <w:fldChar w:fldCharType="separate"/>
    </w:r>
    <w:r>
      <w:rPr>
        <w:lang w:val="zh-CN"/>
      </w:rPr>
      <w:t>21</w:t>
    </w:r>
    <w:r>
      <w:rPr>
        <w:lang w:val="zh-CN"/>
      </w:rPr>
      <w:fldChar w:fldCharType="end"/>
    </w:r>
  </w:p>
  <w:p w14:paraId="46BA3239">
    <w:pPr>
      <w:pStyle w:val="15"/>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B"/>
    <w:multiLevelType w:val="multilevel"/>
    <w:tmpl w:val="0000000B"/>
    <w:lvl w:ilvl="0" w:tentative="0">
      <w:start w:val="1"/>
      <w:numFmt w:val="chineseCountingThousand"/>
      <w:pStyle w:val="5"/>
      <w:suff w:val="space"/>
      <w:lvlText w:val="第%1章"/>
      <w:lvlJc w:val="center"/>
      <w:pPr>
        <w:ind w:left="851" w:hanging="851"/>
      </w:pPr>
      <w:rPr>
        <w:rFonts w:hint="default" w:ascii="Arial" w:hAnsi="Arial" w:eastAsia="黑体" w:cs="Times New Roman"/>
        <w:b/>
        <w:i w:val="0"/>
        <w:snapToGrid/>
        <w:spacing w:val="0"/>
        <w:kern w:val="44"/>
        <w:position w:val="0"/>
        <w:sz w:val="32"/>
        <w:szCs w:val="44"/>
        <w:lang w:val="en-US"/>
      </w:rPr>
    </w:lvl>
    <w:lvl w:ilvl="1" w:tentative="0">
      <w:start w:val="1"/>
      <w:numFmt w:val="decimal"/>
      <w:isLgl/>
      <w:suff w:val="space"/>
      <w:lvlText w:val="%1.%2"/>
      <w:lvlJc w:val="left"/>
      <w:pPr>
        <w:ind w:left="0" w:firstLine="0"/>
      </w:pPr>
      <w:rPr>
        <w:rFonts w:hint="default" w:ascii="Arial" w:hAnsi="Arial" w:eastAsia="黑体" w:cs="Times New Roman"/>
        <w:b/>
        <w:i w:val="0"/>
        <w:sz w:val="28"/>
        <w:szCs w:val="28"/>
      </w:rPr>
    </w:lvl>
    <w:lvl w:ilvl="2" w:tentative="0">
      <w:start w:val="1"/>
      <w:numFmt w:val="decimal"/>
      <w:isLgl/>
      <w:suff w:val="space"/>
      <w:lvlText w:val="%1.%2.%3"/>
      <w:lvlJc w:val="left"/>
      <w:pPr>
        <w:ind w:left="900" w:hanging="900"/>
      </w:pPr>
      <w:rPr>
        <w:rFonts w:hint="default" w:ascii="Arial" w:hAnsi="Arial" w:eastAsia="黑体" w:cs="Times New Roman"/>
        <w:b w:val="0"/>
        <w:i w:val="0"/>
        <w:sz w:val="24"/>
        <w:szCs w:val="24"/>
      </w:rPr>
    </w:lvl>
    <w:lvl w:ilvl="3" w:tentative="0">
      <w:start w:val="1"/>
      <w:numFmt w:val="decimal"/>
      <w:lvlText w:val="%1.%2.%3.%4"/>
      <w:lvlJc w:val="left"/>
      <w:pPr>
        <w:tabs>
          <w:tab w:val="left" w:pos="1080"/>
        </w:tabs>
        <w:ind w:left="1080" w:hanging="1080"/>
      </w:pPr>
      <w:rPr>
        <w:rFonts w:hint="default"/>
      </w:rPr>
    </w:lvl>
    <w:lvl w:ilvl="4" w:tentative="0">
      <w:start w:val="1"/>
      <w:numFmt w:val="decimal"/>
      <w:lvlText w:val="%1.%2.%3.%4.%5"/>
      <w:lvlJc w:val="left"/>
      <w:pPr>
        <w:tabs>
          <w:tab w:val="left" w:pos="1440"/>
        </w:tabs>
        <w:ind w:left="1440" w:hanging="1440"/>
      </w:pPr>
      <w:rPr>
        <w:rFonts w:hint="default"/>
      </w:rPr>
    </w:lvl>
    <w:lvl w:ilvl="5" w:tentative="0">
      <w:start w:val="1"/>
      <w:numFmt w:val="decimal"/>
      <w:lvlText w:val="%1.%2.%3.%4.%5.%6"/>
      <w:lvlJc w:val="left"/>
      <w:pPr>
        <w:tabs>
          <w:tab w:val="left" w:pos="1800"/>
        </w:tabs>
        <w:ind w:left="1800" w:hanging="1800"/>
      </w:pPr>
      <w:rPr>
        <w:rFonts w:hint="default"/>
      </w:rPr>
    </w:lvl>
    <w:lvl w:ilvl="6" w:tentative="0">
      <w:start w:val="1"/>
      <w:numFmt w:val="decimal"/>
      <w:lvlText w:val="%1.%2.%3.%4.%5.%6.%7"/>
      <w:lvlJc w:val="left"/>
      <w:pPr>
        <w:tabs>
          <w:tab w:val="left" w:pos="2160"/>
        </w:tabs>
        <w:ind w:left="2160" w:hanging="2160"/>
      </w:pPr>
      <w:rPr>
        <w:rFonts w:hint="default"/>
      </w:rPr>
    </w:lvl>
    <w:lvl w:ilvl="7" w:tentative="0">
      <w:start w:val="1"/>
      <w:numFmt w:val="decimal"/>
      <w:lvlText w:val="%1.%2.%3.%4.%5.%6.%7.%8"/>
      <w:lvlJc w:val="left"/>
      <w:pPr>
        <w:tabs>
          <w:tab w:val="left" w:pos="2160"/>
        </w:tabs>
        <w:ind w:left="2160" w:hanging="2160"/>
      </w:pPr>
      <w:rPr>
        <w:rFonts w:hint="default"/>
      </w:rPr>
    </w:lvl>
    <w:lvl w:ilvl="8" w:tentative="0">
      <w:start w:val="1"/>
      <w:numFmt w:val="decimal"/>
      <w:lvlText w:val="%1.%2.%3.%4.%5.%6.%7.%8.%9"/>
      <w:lvlJc w:val="left"/>
      <w:pPr>
        <w:tabs>
          <w:tab w:val="left" w:pos="2520"/>
        </w:tabs>
        <w:ind w:left="2520" w:hanging="2520"/>
      </w:pPr>
      <w:rPr>
        <w:rFonts w:hint="default"/>
      </w:rPr>
    </w:lvl>
  </w:abstractNum>
  <w:abstractNum w:abstractNumId="1">
    <w:nsid w:val="3EBB3C91"/>
    <w:multiLevelType w:val="multilevel"/>
    <w:tmpl w:val="3EBB3C91"/>
    <w:lvl w:ilvl="0" w:tentative="0">
      <w:start w:val="1"/>
      <w:numFmt w:val="chineseCountingThousand"/>
      <w:suff w:val="space"/>
      <w:lvlText w:val="%1. "/>
      <w:lvlJc w:val="left"/>
      <w:pPr>
        <w:ind w:left="907" w:hanging="907"/>
      </w:pPr>
      <w:rPr>
        <w:rFonts w:hint="eastAsia"/>
      </w:rPr>
    </w:lvl>
    <w:lvl w:ilvl="1" w:tentative="0">
      <w:start w:val="1"/>
      <w:numFmt w:val="decimal"/>
      <w:isLgl/>
      <w:suff w:val="space"/>
      <w:lvlText w:val="%1.%2 "/>
      <w:lvlJc w:val="left"/>
      <w:pPr>
        <w:ind w:left="794" w:hanging="794"/>
      </w:pPr>
    </w:lvl>
    <w:lvl w:ilvl="2" w:tentative="0">
      <w:start w:val="0"/>
      <w:numFmt w:val="none"/>
      <w:lvlText w:val=""/>
      <w:lvlJc w:val="left"/>
      <w:pPr>
        <w:tabs>
          <w:tab w:val="left" w:pos="360"/>
        </w:tabs>
      </w:pPr>
      <w:rPr>
        <w:rFonts w:cs="Times New Roman"/>
      </w:rPr>
    </w:lvl>
    <w:lvl w:ilvl="3" w:tentative="0">
      <w:start w:val="0"/>
      <w:numFmt w:val="none"/>
      <w:lvlText w:val=""/>
      <w:lvlJc w:val="left"/>
      <w:pPr>
        <w:tabs>
          <w:tab w:val="left" w:pos="360"/>
        </w:tabs>
      </w:pPr>
      <w:rPr>
        <w:rFonts w:cs="Times New Roman"/>
      </w:rPr>
    </w:lvl>
    <w:lvl w:ilvl="4" w:tentative="0">
      <w:start w:val="0"/>
      <w:numFmt w:val="decimal"/>
      <w:pStyle w:val="32"/>
      <w:lvlText w:val=""/>
      <w:lvlJc w:val="left"/>
      <w:rPr>
        <w:rFonts w:cs="Times New Roman"/>
      </w:rPr>
    </w:lvl>
    <w:lvl w:ilvl="5" w:tentative="0">
      <w:start w:val="0"/>
      <w:numFmt w:val="decimal"/>
      <w:lvlText w:val=""/>
      <w:lvlJc w:val="left"/>
      <w:rPr>
        <w:rFonts w:cs="Times New Roman"/>
      </w:rPr>
    </w:lvl>
    <w:lvl w:ilvl="6" w:tentative="0">
      <w:start w:val="0"/>
      <w:numFmt w:val="decimal"/>
      <w:lvlText w:val=""/>
      <w:lvlJc w:val="left"/>
      <w:rPr>
        <w:rFonts w:cs="Times New Roman"/>
      </w:rPr>
    </w:lvl>
    <w:lvl w:ilvl="7" w:tentative="0">
      <w:start w:val="0"/>
      <w:numFmt w:val="decimal"/>
      <w:lvlText w:val=""/>
      <w:lvlJc w:val="left"/>
      <w:rPr>
        <w:rFonts w:cs="Times New Roman"/>
      </w:rPr>
    </w:lvl>
    <w:lvl w:ilvl="8" w:tentative="0">
      <w:start w:val="0"/>
      <w:numFmt w:val="decimal"/>
      <w:lvlText w:val=""/>
      <w:lvlJc w:val="left"/>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2"/>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noLineBreaksAfter w:lang="zh-CN" w:val="([{·‘“〈《「『【〔〖（．［｛￡￥"/>
  <w:noLineBreaksBefore w:lang="zh-CN" w:val="!),.:;?]}¨·ˇˉ―‖’”…∶、。〃々〉》」』】〕〗！＂＇），．：；？］｀｜｝～￠"/>
  <w:doNotValidateAgainstSchema/>
  <w:doNotDemarcateInvalidXml/>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gyYjMzMGRiMjZjNjRiYmQ1Yjk0NzIyNTJlN2YwNjEifQ=="/>
  </w:docVars>
  <w:rsids>
    <w:rsidRoot w:val="00681F43"/>
    <w:rsid w:val="00006CE1"/>
    <w:rsid w:val="00007073"/>
    <w:rsid w:val="00010A09"/>
    <w:rsid w:val="00012A33"/>
    <w:rsid w:val="00012A3D"/>
    <w:rsid w:val="000151BD"/>
    <w:rsid w:val="000251DE"/>
    <w:rsid w:val="00031AD7"/>
    <w:rsid w:val="00034704"/>
    <w:rsid w:val="0003601D"/>
    <w:rsid w:val="00037ABB"/>
    <w:rsid w:val="00044D21"/>
    <w:rsid w:val="00044D4C"/>
    <w:rsid w:val="00051929"/>
    <w:rsid w:val="00054B64"/>
    <w:rsid w:val="00065370"/>
    <w:rsid w:val="00070471"/>
    <w:rsid w:val="00071427"/>
    <w:rsid w:val="00074AE6"/>
    <w:rsid w:val="000750EA"/>
    <w:rsid w:val="00083103"/>
    <w:rsid w:val="00083F84"/>
    <w:rsid w:val="00097961"/>
    <w:rsid w:val="000B3FFA"/>
    <w:rsid w:val="000C5869"/>
    <w:rsid w:val="000C7F4B"/>
    <w:rsid w:val="000E101C"/>
    <w:rsid w:val="000E6CE3"/>
    <w:rsid w:val="000E7C46"/>
    <w:rsid w:val="000F5F07"/>
    <w:rsid w:val="000F6431"/>
    <w:rsid w:val="000F643F"/>
    <w:rsid w:val="00103E28"/>
    <w:rsid w:val="00107B8B"/>
    <w:rsid w:val="00114C4D"/>
    <w:rsid w:val="001152C4"/>
    <w:rsid w:val="001370EF"/>
    <w:rsid w:val="001521E4"/>
    <w:rsid w:val="001611DD"/>
    <w:rsid w:val="0016777F"/>
    <w:rsid w:val="00174A2A"/>
    <w:rsid w:val="00184851"/>
    <w:rsid w:val="00186075"/>
    <w:rsid w:val="00197DFA"/>
    <w:rsid w:val="001A74D4"/>
    <w:rsid w:val="001A7AB2"/>
    <w:rsid w:val="001B20BE"/>
    <w:rsid w:val="001B5D83"/>
    <w:rsid w:val="001C0A0B"/>
    <w:rsid w:val="001C22FA"/>
    <w:rsid w:val="001E2810"/>
    <w:rsid w:val="001E6FF4"/>
    <w:rsid w:val="001F13A2"/>
    <w:rsid w:val="0020562A"/>
    <w:rsid w:val="00206094"/>
    <w:rsid w:val="002070E0"/>
    <w:rsid w:val="00211796"/>
    <w:rsid w:val="002240A9"/>
    <w:rsid w:val="00230EB6"/>
    <w:rsid w:val="002444D3"/>
    <w:rsid w:val="00256005"/>
    <w:rsid w:val="00256C73"/>
    <w:rsid w:val="00262CCF"/>
    <w:rsid w:val="002655C6"/>
    <w:rsid w:val="00265BFF"/>
    <w:rsid w:val="00275DE8"/>
    <w:rsid w:val="00281E4C"/>
    <w:rsid w:val="0029108B"/>
    <w:rsid w:val="0029332A"/>
    <w:rsid w:val="00295D5A"/>
    <w:rsid w:val="0029732A"/>
    <w:rsid w:val="00297AB2"/>
    <w:rsid w:val="002A1AB7"/>
    <w:rsid w:val="002A2C60"/>
    <w:rsid w:val="002C3CB3"/>
    <w:rsid w:val="002D29C0"/>
    <w:rsid w:val="002D4648"/>
    <w:rsid w:val="002D54B2"/>
    <w:rsid w:val="002E2446"/>
    <w:rsid w:val="002E64BB"/>
    <w:rsid w:val="002E7AAF"/>
    <w:rsid w:val="002F1284"/>
    <w:rsid w:val="002F289F"/>
    <w:rsid w:val="002F7A2B"/>
    <w:rsid w:val="003065E1"/>
    <w:rsid w:val="00311159"/>
    <w:rsid w:val="00315EFF"/>
    <w:rsid w:val="003162CE"/>
    <w:rsid w:val="00317123"/>
    <w:rsid w:val="00322ABA"/>
    <w:rsid w:val="00323847"/>
    <w:rsid w:val="00326D51"/>
    <w:rsid w:val="00353C58"/>
    <w:rsid w:val="00353E5E"/>
    <w:rsid w:val="00355070"/>
    <w:rsid w:val="00357345"/>
    <w:rsid w:val="00362896"/>
    <w:rsid w:val="00373DE5"/>
    <w:rsid w:val="00374581"/>
    <w:rsid w:val="00383F5E"/>
    <w:rsid w:val="00390FB9"/>
    <w:rsid w:val="00391EAF"/>
    <w:rsid w:val="003921B9"/>
    <w:rsid w:val="003922B9"/>
    <w:rsid w:val="00397657"/>
    <w:rsid w:val="003B4715"/>
    <w:rsid w:val="003C213E"/>
    <w:rsid w:val="003C3CF9"/>
    <w:rsid w:val="003C3D92"/>
    <w:rsid w:val="003D1D40"/>
    <w:rsid w:val="003D3CEA"/>
    <w:rsid w:val="003D70BE"/>
    <w:rsid w:val="003E4146"/>
    <w:rsid w:val="003F55FF"/>
    <w:rsid w:val="00400FAC"/>
    <w:rsid w:val="004030DD"/>
    <w:rsid w:val="00411ECF"/>
    <w:rsid w:val="00416393"/>
    <w:rsid w:val="00422555"/>
    <w:rsid w:val="00423320"/>
    <w:rsid w:val="00423F27"/>
    <w:rsid w:val="00431F3F"/>
    <w:rsid w:val="004512E5"/>
    <w:rsid w:val="00471BA7"/>
    <w:rsid w:val="00473FEE"/>
    <w:rsid w:val="00477960"/>
    <w:rsid w:val="00482F9E"/>
    <w:rsid w:val="0048363D"/>
    <w:rsid w:val="00483B44"/>
    <w:rsid w:val="00492A89"/>
    <w:rsid w:val="004957E3"/>
    <w:rsid w:val="00496C7B"/>
    <w:rsid w:val="004A2EA5"/>
    <w:rsid w:val="004B7240"/>
    <w:rsid w:val="004C2FE0"/>
    <w:rsid w:val="004D440C"/>
    <w:rsid w:val="004D60AD"/>
    <w:rsid w:val="004E3CDE"/>
    <w:rsid w:val="004E5E1E"/>
    <w:rsid w:val="004F2733"/>
    <w:rsid w:val="004F7585"/>
    <w:rsid w:val="00504090"/>
    <w:rsid w:val="00511310"/>
    <w:rsid w:val="00515C5E"/>
    <w:rsid w:val="00516EC3"/>
    <w:rsid w:val="00520DD4"/>
    <w:rsid w:val="00525AD6"/>
    <w:rsid w:val="00531BB3"/>
    <w:rsid w:val="00553934"/>
    <w:rsid w:val="005577EE"/>
    <w:rsid w:val="00562896"/>
    <w:rsid w:val="00563002"/>
    <w:rsid w:val="0056547D"/>
    <w:rsid w:val="0056772C"/>
    <w:rsid w:val="00584442"/>
    <w:rsid w:val="0058467F"/>
    <w:rsid w:val="005A2915"/>
    <w:rsid w:val="005A5A42"/>
    <w:rsid w:val="005C5C4F"/>
    <w:rsid w:val="005D0256"/>
    <w:rsid w:val="005D48BC"/>
    <w:rsid w:val="005E5DA6"/>
    <w:rsid w:val="005E676D"/>
    <w:rsid w:val="006017C1"/>
    <w:rsid w:val="00602D80"/>
    <w:rsid w:val="006049E3"/>
    <w:rsid w:val="006060EB"/>
    <w:rsid w:val="00606561"/>
    <w:rsid w:val="00612195"/>
    <w:rsid w:val="00613B2E"/>
    <w:rsid w:val="0062052B"/>
    <w:rsid w:val="00632392"/>
    <w:rsid w:val="006421CB"/>
    <w:rsid w:val="00647FD9"/>
    <w:rsid w:val="00653215"/>
    <w:rsid w:val="0066433A"/>
    <w:rsid w:val="00674027"/>
    <w:rsid w:val="00681F43"/>
    <w:rsid w:val="00686625"/>
    <w:rsid w:val="00687FA7"/>
    <w:rsid w:val="00691392"/>
    <w:rsid w:val="006964FC"/>
    <w:rsid w:val="006A1C01"/>
    <w:rsid w:val="006A3EDF"/>
    <w:rsid w:val="006A7E46"/>
    <w:rsid w:val="006B49EA"/>
    <w:rsid w:val="006B7D6B"/>
    <w:rsid w:val="006C6A5C"/>
    <w:rsid w:val="006E5BFD"/>
    <w:rsid w:val="006F7520"/>
    <w:rsid w:val="00700A8A"/>
    <w:rsid w:val="00700DFF"/>
    <w:rsid w:val="00701133"/>
    <w:rsid w:val="007173E6"/>
    <w:rsid w:val="00724F2D"/>
    <w:rsid w:val="00752D12"/>
    <w:rsid w:val="00776AF2"/>
    <w:rsid w:val="00781E4A"/>
    <w:rsid w:val="007828E2"/>
    <w:rsid w:val="00792A68"/>
    <w:rsid w:val="00793A3E"/>
    <w:rsid w:val="007A2425"/>
    <w:rsid w:val="007A5862"/>
    <w:rsid w:val="007A7D27"/>
    <w:rsid w:val="007B4BFF"/>
    <w:rsid w:val="007B7E57"/>
    <w:rsid w:val="007C2B97"/>
    <w:rsid w:val="007C43F5"/>
    <w:rsid w:val="007C7BBF"/>
    <w:rsid w:val="007E0A09"/>
    <w:rsid w:val="007E0F9B"/>
    <w:rsid w:val="007E27F8"/>
    <w:rsid w:val="007E6656"/>
    <w:rsid w:val="007F3185"/>
    <w:rsid w:val="007F5533"/>
    <w:rsid w:val="007F78CE"/>
    <w:rsid w:val="00802F50"/>
    <w:rsid w:val="008102A0"/>
    <w:rsid w:val="00812DC7"/>
    <w:rsid w:val="008222F5"/>
    <w:rsid w:val="00831E22"/>
    <w:rsid w:val="008452D8"/>
    <w:rsid w:val="00857890"/>
    <w:rsid w:val="0086244A"/>
    <w:rsid w:val="00863479"/>
    <w:rsid w:val="00863AFE"/>
    <w:rsid w:val="00866858"/>
    <w:rsid w:val="00866F4A"/>
    <w:rsid w:val="00875197"/>
    <w:rsid w:val="008805C1"/>
    <w:rsid w:val="00892BF7"/>
    <w:rsid w:val="008A67D0"/>
    <w:rsid w:val="008B52E0"/>
    <w:rsid w:val="008D2C31"/>
    <w:rsid w:val="008D76BE"/>
    <w:rsid w:val="008E0D2C"/>
    <w:rsid w:val="008E50D0"/>
    <w:rsid w:val="008F0CE4"/>
    <w:rsid w:val="008F7615"/>
    <w:rsid w:val="009205FA"/>
    <w:rsid w:val="00947C10"/>
    <w:rsid w:val="00962FEA"/>
    <w:rsid w:val="00967FAC"/>
    <w:rsid w:val="0097079F"/>
    <w:rsid w:val="00977A90"/>
    <w:rsid w:val="00986BD6"/>
    <w:rsid w:val="00987040"/>
    <w:rsid w:val="00990B39"/>
    <w:rsid w:val="009A0E80"/>
    <w:rsid w:val="009A10BF"/>
    <w:rsid w:val="009A4352"/>
    <w:rsid w:val="009B722A"/>
    <w:rsid w:val="009C03C9"/>
    <w:rsid w:val="009C63AA"/>
    <w:rsid w:val="009D6E01"/>
    <w:rsid w:val="009E37E6"/>
    <w:rsid w:val="009E5EF4"/>
    <w:rsid w:val="00A149D3"/>
    <w:rsid w:val="00A158B6"/>
    <w:rsid w:val="00A2296E"/>
    <w:rsid w:val="00A275DE"/>
    <w:rsid w:val="00A41BEA"/>
    <w:rsid w:val="00A42106"/>
    <w:rsid w:val="00A467B5"/>
    <w:rsid w:val="00A46A6D"/>
    <w:rsid w:val="00A60D8B"/>
    <w:rsid w:val="00A61E32"/>
    <w:rsid w:val="00A639FE"/>
    <w:rsid w:val="00A6744E"/>
    <w:rsid w:val="00A74C9F"/>
    <w:rsid w:val="00A755F9"/>
    <w:rsid w:val="00A90EAF"/>
    <w:rsid w:val="00A9533F"/>
    <w:rsid w:val="00A96A2E"/>
    <w:rsid w:val="00AA3922"/>
    <w:rsid w:val="00AA4153"/>
    <w:rsid w:val="00AB2A4D"/>
    <w:rsid w:val="00AB2B42"/>
    <w:rsid w:val="00AC5B60"/>
    <w:rsid w:val="00AC65ED"/>
    <w:rsid w:val="00AD3EA1"/>
    <w:rsid w:val="00AD3F7D"/>
    <w:rsid w:val="00AD68A8"/>
    <w:rsid w:val="00AE369A"/>
    <w:rsid w:val="00B01FFC"/>
    <w:rsid w:val="00B231B9"/>
    <w:rsid w:val="00B2486C"/>
    <w:rsid w:val="00B3064D"/>
    <w:rsid w:val="00B30898"/>
    <w:rsid w:val="00B43940"/>
    <w:rsid w:val="00B46857"/>
    <w:rsid w:val="00B70F2A"/>
    <w:rsid w:val="00B71CFA"/>
    <w:rsid w:val="00B807FA"/>
    <w:rsid w:val="00BB5C11"/>
    <w:rsid w:val="00BB644F"/>
    <w:rsid w:val="00BB675A"/>
    <w:rsid w:val="00BC076A"/>
    <w:rsid w:val="00BC596E"/>
    <w:rsid w:val="00BF5614"/>
    <w:rsid w:val="00C0406C"/>
    <w:rsid w:val="00C10FC7"/>
    <w:rsid w:val="00C1174A"/>
    <w:rsid w:val="00C36CB6"/>
    <w:rsid w:val="00C4250C"/>
    <w:rsid w:val="00C50947"/>
    <w:rsid w:val="00C53EC9"/>
    <w:rsid w:val="00C7138B"/>
    <w:rsid w:val="00C819F6"/>
    <w:rsid w:val="00C92A06"/>
    <w:rsid w:val="00CA6513"/>
    <w:rsid w:val="00CB51B9"/>
    <w:rsid w:val="00CC69B7"/>
    <w:rsid w:val="00CD027A"/>
    <w:rsid w:val="00CE6958"/>
    <w:rsid w:val="00D07A9D"/>
    <w:rsid w:val="00D107EA"/>
    <w:rsid w:val="00D11605"/>
    <w:rsid w:val="00D2758F"/>
    <w:rsid w:val="00D30F60"/>
    <w:rsid w:val="00D33017"/>
    <w:rsid w:val="00D339BD"/>
    <w:rsid w:val="00D42EFB"/>
    <w:rsid w:val="00D430C9"/>
    <w:rsid w:val="00D43392"/>
    <w:rsid w:val="00D43DA0"/>
    <w:rsid w:val="00D52AD4"/>
    <w:rsid w:val="00D65B9E"/>
    <w:rsid w:val="00D65CB4"/>
    <w:rsid w:val="00D81F98"/>
    <w:rsid w:val="00D96405"/>
    <w:rsid w:val="00DA6B74"/>
    <w:rsid w:val="00DB31AF"/>
    <w:rsid w:val="00DC38E7"/>
    <w:rsid w:val="00DC4C70"/>
    <w:rsid w:val="00DC739E"/>
    <w:rsid w:val="00DD315C"/>
    <w:rsid w:val="00E008B6"/>
    <w:rsid w:val="00E03FD9"/>
    <w:rsid w:val="00E17DEC"/>
    <w:rsid w:val="00E236D5"/>
    <w:rsid w:val="00E270EE"/>
    <w:rsid w:val="00E309AF"/>
    <w:rsid w:val="00E34871"/>
    <w:rsid w:val="00E4530D"/>
    <w:rsid w:val="00E467DD"/>
    <w:rsid w:val="00E54B86"/>
    <w:rsid w:val="00E61714"/>
    <w:rsid w:val="00E6226C"/>
    <w:rsid w:val="00E656B2"/>
    <w:rsid w:val="00E66E6C"/>
    <w:rsid w:val="00E7168D"/>
    <w:rsid w:val="00E7402C"/>
    <w:rsid w:val="00E866C4"/>
    <w:rsid w:val="00E86F4C"/>
    <w:rsid w:val="00E95F95"/>
    <w:rsid w:val="00EA03AD"/>
    <w:rsid w:val="00EA22A3"/>
    <w:rsid w:val="00EB5AC0"/>
    <w:rsid w:val="00EC5BDC"/>
    <w:rsid w:val="00EC64A2"/>
    <w:rsid w:val="00EC6F86"/>
    <w:rsid w:val="00ED54AA"/>
    <w:rsid w:val="00ED5C90"/>
    <w:rsid w:val="00ED7E77"/>
    <w:rsid w:val="00EE26A0"/>
    <w:rsid w:val="00EE33B6"/>
    <w:rsid w:val="00EF2CBC"/>
    <w:rsid w:val="00F0458A"/>
    <w:rsid w:val="00F10B1B"/>
    <w:rsid w:val="00F14C7F"/>
    <w:rsid w:val="00F16749"/>
    <w:rsid w:val="00F215CC"/>
    <w:rsid w:val="00F30899"/>
    <w:rsid w:val="00F42B0E"/>
    <w:rsid w:val="00F44BAD"/>
    <w:rsid w:val="00F4513E"/>
    <w:rsid w:val="00F60A6D"/>
    <w:rsid w:val="00F658E9"/>
    <w:rsid w:val="00F735A3"/>
    <w:rsid w:val="00F76009"/>
    <w:rsid w:val="00F806A9"/>
    <w:rsid w:val="00F814CF"/>
    <w:rsid w:val="00F846D4"/>
    <w:rsid w:val="00F84D73"/>
    <w:rsid w:val="00F922C4"/>
    <w:rsid w:val="00F94CE5"/>
    <w:rsid w:val="00FA08C7"/>
    <w:rsid w:val="00FA665F"/>
    <w:rsid w:val="00FB4BE1"/>
    <w:rsid w:val="00FB5D9A"/>
    <w:rsid w:val="00FC387C"/>
    <w:rsid w:val="00FE420A"/>
    <w:rsid w:val="00FF0AEB"/>
    <w:rsid w:val="00FF47D0"/>
    <w:rsid w:val="013C437F"/>
    <w:rsid w:val="01C6128A"/>
    <w:rsid w:val="01D86913"/>
    <w:rsid w:val="029108A9"/>
    <w:rsid w:val="030137EC"/>
    <w:rsid w:val="037A282A"/>
    <w:rsid w:val="038167BE"/>
    <w:rsid w:val="03EC7079"/>
    <w:rsid w:val="03FB30BF"/>
    <w:rsid w:val="04147923"/>
    <w:rsid w:val="065425AB"/>
    <w:rsid w:val="06810AC0"/>
    <w:rsid w:val="06BE1E38"/>
    <w:rsid w:val="07060156"/>
    <w:rsid w:val="07670E92"/>
    <w:rsid w:val="077D4EA5"/>
    <w:rsid w:val="08260639"/>
    <w:rsid w:val="085B1EF7"/>
    <w:rsid w:val="089224CE"/>
    <w:rsid w:val="0992473E"/>
    <w:rsid w:val="09BD561C"/>
    <w:rsid w:val="0A2341E1"/>
    <w:rsid w:val="0A290774"/>
    <w:rsid w:val="0B0131D7"/>
    <w:rsid w:val="0B274A52"/>
    <w:rsid w:val="0B66738A"/>
    <w:rsid w:val="0B725FBA"/>
    <w:rsid w:val="0BE66801"/>
    <w:rsid w:val="0C0310C8"/>
    <w:rsid w:val="0C371E87"/>
    <w:rsid w:val="0C4635DD"/>
    <w:rsid w:val="0C7E090C"/>
    <w:rsid w:val="0D0522AA"/>
    <w:rsid w:val="0D5A2878"/>
    <w:rsid w:val="0D607C0A"/>
    <w:rsid w:val="0DA83FFF"/>
    <w:rsid w:val="0E0B6946"/>
    <w:rsid w:val="0E470EE6"/>
    <w:rsid w:val="0EA01CFB"/>
    <w:rsid w:val="0EDA61D4"/>
    <w:rsid w:val="0EF767D0"/>
    <w:rsid w:val="0FA00BD0"/>
    <w:rsid w:val="0FE45093"/>
    <w:rsid w:val="10284692"/>
    <w:rsid w:val="1041395A"/>
    <w:rsid w:val="1153390D"/>
    <w:rsid w:val="12311469"/>
    <w:rsid w:val="127A66CA"/>
    <w:rsid w:val="12CB18A0"/>
    <w:rsid w:val="12F55023"/>
    <w:rsid w:val="13465DAC"/>
    <w:rsid w:val="13A350FE"/>
    <w:rsid w:val="14F24802"/>
    <w:rsid w:val="151F2176"/>
    <w:rsid w:val="156C664D"/>
    <w:rsid w:val="1584416F"/>
    <w:rsid w:val="15870A9F"/>
    <w:rsid w:val="15A458D4"/>
    <w:rsid w:val="16797E6D"/>
    <w:rsid w:val="16FF5B47"/>
    <w:rsid w:val="172B4960"/>
    <w:rsid w:val="173776E5"/>
    <w:rsid w:val="174B5F79"/>
    <w:rsid w:val="17B57DEA"/>
    <w:rsid w:val="181708FC"/>
    <w:rsid w:val="189E35E8"/>
    <w:rsid w:val="197C5692"/>
    <w:rsid w:val="19EE5C76"/>
    <w:rsid w:val="1A7D1310"/>
    <w:rsid w:val="1C465D2D"/>
    <w:rsid w:val="1C49323C"/>
    <w:rsid w:val="1CA61184"/>
    <w:rsid w:val="1CBC4E84"/>
    <w:rsid w:val="1DDD7D70"/>
    <w:rsid w:val="1DE17E96"/>
    <w:rsid w:val="1E074473"/>
    <w:rsid w:val="1E0B2F62"/>
    <w:rsid w:val="1E500E1D"/>
    <w:rsid w:val="1E594877"/>
    <w:rsid w:val="1E733786"/>
    <w:rsid w:val="1EF731D1"/>
    <w:rsid w:val="1FAB4F33"/>
    <w:rsid w:val="2085365C"/>
    <w:rsid w:val="21FE6D89"/>
    <w:rsid w:val="22133D3F"/>
    <w:rsid w:val="222D1FD0"/>
    <w:rsid w:val="22471D31"/>
    <w:rsid w:val="23641C52"/>
    <w:rsid w:val="23685580"/>
    <w:rsid w:val="23F6295D"/>
    <w:rsid w:val="24046325"/>
    <w:rsid w:val="24B356FC"/>
    <w:rsid w:val="256D2F0B"/>
    <w:rsid w:val="25A95CFC"/>
    <w:rsid w:val="25AD29D7"/>
    <w:rsid w:val="262526A2"/>
    <w:rsid w:val="26DF7355"/>
    <w:rsid w:val="27BC3340"/>
    <w:rsid w:val="27F26DB6"/>
    <w:rsid w:val="27F45C77"/>
    <w:rsid w:val="28B13EEE"/>
    <w:rsid w:val="28B9676E"/>
    <w:rsid w:val="28F70356"/>
    <w:rsid w:val="2A1E4FD3"/>
    <w:rsid w:val="2A255E10"/>
    <w:rsid w:val="2A281ACD"/>
    <w:rsid w:val="2B082ECF"/>
    <w:rsid w:val="2B3E07A7"/>
    <w:rsid w:val="2B4A1A5C"/>
    <w:rsid w:val="2B4A2752"/>
    <w:rsid w:val="2B650F8B"/>
    <w:rsid w:val="2D7E0028"/>
    <w:rsid w:val="2D7F5B73"/>
    <w:rsid w:val="2D9D4615"/>
    <w:rsid w:val="2DA411EF"/>
    <w:rsid w:val="2DB80690"/>
    <w:rsid w:val="2F047F21"/>
    <w:rsid w:val="2FB0645B"/>
    <w:rsid w:val="2FF975DC"/>
    <w:rsid w:val="302E50BF"/>
    <w:rsid w:val="303B6B95"/>
    <w:rsid w:val="30C82816"/>
    <w:rsid w:val="31126240"/>
    <w:rsid w:val="312A36EF"/>
    <w:rsid w:val="31481898"/>
    <w:rsid w:val="318E1388"/>
    <w:rsid w:val="319D70CF"/>
    <w:rsid w:val="321D78D5"/>
    <w:rsid w:val="32CC2D9E"/>
    <w:rsid w:val="32D942A1"/>
    <w:rsid w:val="331424EF"/>
    <w:rsid w:val="332D4643"/>
    <w:rsid w:val="333E510C"/>
    <w:rsid w:val="33953C2E"/>
    <w:rsid w:val="33C2520E"/>
    <w:rsid w:val="33C3528F"/>
    <w:rsid w:val="35043E3D"/>
    <w:rsid w:val="3513613B"/>
    <w:rsid w:val="351D4050"/>
    <w:rsid w:val="3590358E"/>
    <w:rsid w:val="3613672A"/>
    <w:rsid w:val="369E54F7"/>
    <w:rsid w:val="36D46E6B"/>
    <w:rsid w:val="36F63CBC"/>
    <w:rsid w:val="378230C2"/>
    <w:rsid w:val="37F54915"/>
    <w:rsid w:val="384E241F"/>
    <w:rsid w:val="38C023C6"/>
    <w:rsid w:val="391F3140"/>
    <w:rsid w:val="39EA76E1"/>
    <w:rsid w:val="3A3B7894"/>
    <w:rsid w:val="3AAF016E"/>
    <w:rsid w:val="3B8B271A"/>
    <w:rsid w:val="3B93114B"/>
    <w:rsid w:val="3B9F01ED"/>
    <w:rsid w:val="3BCA0FF0"/>
    <w:rsid w:val="3C187054"/>
    <w:rsid w:val="3C38692F"/>
    <w:rsid w:val="3C480A76"/>
    <w:rsid w:val="3CEA69B7"/>
    <w:rsid w:val="3CF70475"/>
    <w:rsid w:val="3D4E5D8C"/>
    <w:rsid w:val="3D6B2EB7"/>
    <w:rsid w:val="3E35213F"/>
    <w:rsid w:val="3EC4485A"/>
    <w:rsid w:val="3EE83A52"/>
    <w:rsid w:val="3F1935A0"/>
    <w:rsid w:val="3F540722"/>
    <w:rsid w:val="3FEF0CD2"/>
    <w:rsid w:val="402F5FBC"/>
    <w:rsid w:val="40E527FD"/>
    <w:rsid w:val="419606C0"/>
    <w:rsid w:val="41A40456"/>
    <w:rsid w:val="4200564F"/>
    <w:rsid w:val="42185897"/>
    <w:rsid w:val="423257B7"/>
    <w:rsid w:val="42347C4C"/>
    <w:rsid w:val="4253072D"/>
    <w:rsid w:val="42BA1E87"/>
    <w:rsid w:val="445B5B89"/>
    <w:rsid w:val="449479DE"/>
    <w:rsid w:val="450157BE"/>
    <w:rsid w:val="450D333B"/>
    <w:rsid w:val="453040E2"/>
    <w:rsid w:val="460E6643"/>
    <w:rsid w:val="46541F22"/>
    <w:rsid w:val="465C3C48"/>
    <w:rsid w:val="467B13B5"/>
    <w:rsid w:val="46D1345B"/>
    <w:rsid w:val="47433D15"/>
    <w:rsid w:val="476910BD"/>
    <w:rsid w:val="47BE33CA"/>
    <w:rsid w:val="47E95008"/>
    <w:rsid w:val="47FA739E"/>
    <w:rsid w:val="485101E2"/>
    <w:rsid w:val="48B46EAA"/>
    <w:rsid w:val="490B70CE"/>
    <w:rsid w:val="494B7CE1"/>
    <w:rsid w:val="495F5FF9"/>
    <w:rsid w:val="49827327"/>
    <w:rsid w:val="49970A44"/>
    <w:rsid w:val="4999696B"/>
    <w:rsid w:val="49C111EC"/>
    <w:rsid w:val="49E511CB"/>
    <w:rsid w:val="49ED316E"/>
    <w:rsid w:val="49EF1B9E"/>
    <w:rsid w:val="4B213EE5"/>
    <w:rsid w:val="4B713F29"/>
    <w:rsid w:val="4BFB4E76"/>
    <w:rsid w:val="4BFE6094"/>
    <w:rsid w:val="4C4A42B7"/>
    <w:rsid w:val="4C5D6CF1"/>
    <w:rsid w:val="4C9361DE"/>
    <w:rsid w:val="4CFD3359"/>
    <w:rsid w:val="4D673C51"/>
    <w:rsid w:val="4D937FC3"/>
    <w:rsid w:val="4DCC4745"/>
    <w:rsid w:val="4E9E163B"/>
    <w:rsid w:val="4EB43426"/>
    <w:rsid w:val="4EC73717"/>
    <w:rsid w:val="4EE147CD"/>
    <w:rsid w:val="4F782DD8"/>
    <w:rsid w:val="4F8D287C"/>
    <w:rsid w:val="4FE415A0"/>
    <w:rsid w:val="5030572F"/>
    <w:rsid w:val="505D1B95"/>
    <w:rsid w:val="50841D01"/>
    <w:rsid w:val="50C41BB4"/>
    <w:rsid w:val="51070519"/>
    <w:rsid w:val="52784888"/>
    <w:rsid w:val="52952453"/>
    <w:rsid w:val="53B45806"/>
    <w:rsid w:val="53DA07A9"/>
    <w:rsid w:val="53EE5C42"/>
    <w:rsid w:val="547B09E2"/>
    <w:rsid w:val="54966C03"/>
    <w:rsid w:val="54B30DD5"/>
    <w:rsid w:val="55A9665F"/>
    <w:rsid w:val="562E5BB2"/>
    <w:rsid w:val="56521B64"/>
    <w:rsid w:val="567B220F"/>
    <w:rsid w:val="56A6099C"/>
    <w:rsid w:val="56D82E45"/>
    <w:rsid w:val="580375A0"/>
    <w:rsid w:val="58FE58A5"/>
    <w:rsid w:val="592941F7"/>
    <w:rsid w:val="596D55BA"/>
    <w:rsid w:val="597823D6"/>
    <w:rsid w:val="5AAC7162"/>
    <w:rsid w:val="5AEB727F"/>
    <w:rsid w:val="5B324C01"/>
    <w:rsid w:val="5BBC6D73"/>
    <w:rsid w:val="5C180330"/>
    <w:rsid w:val="5C4829F1"/>
    <w:rsid w:val="5D524517"/>
    <w:rsid w:val="5E4C6DD8"/>
    <w:rsid w:val="5E6A2F8E"/>
    <w:rsid w:val="5E6E5F7F"/>
    <w:rsid w:val="5FDE7053"/>
    <w:rsid w:val="60230B1A"/>
    <w:rsid w:val="60817B2A"/>
    <w:rsid w:val="61230CF6"/>
    <w:rsid w:val="612346CF"/>
    <w:rsid w:val="622379DD"/>
    <w:rsid w:val="622C22F1"/>
    <w:rsid w:val="622E56CE"/>
    <w:rsid w:val="633167CC"/>
    <w:rsid w:val="63CB1E8B"/>
    <w:rsid w:val="6464024B"/>
    <w:rsid w:val="646478D7"/>
    <w:rsid w:val="657623D6"/>
    <w:rsid w:val="6584299F"/>
    <w:rsid w:val="65AC2BB2"/>
    <w:rsid w:val="65E03857"/>
    <w:rsid w:val="66413D34"/>
    <w:rsid w:val="66681DC9"/>
    <w:rsid w:val="66D679AB"/>
    <w:rsid w:val="66F80892"/>
    <w:rsid w:val="679C0C3A"/>
    <w:rsid w:val="67A51145"/>
    <w:rsid w:val="688117A8"/>
    <w:rsid w:val="688431F8"/>
    <w:rsid w:val="68FF4E51"/>
    <w:rsid w:val="6910096E"/>
    <w:rsid w:val="69273691"/>
    <w:rsid w:val="69674C01"/>
    <w:rsid w:val="696D6100"/>
    <w:rsid w:val="698946FD"/>
    <w:rsid w:val="6A280DB2"/>
    <w:rsid w:val="6A333F49"/>
    <w:rsid w:val="6A9B1539"/>
    <w:rsid w:val="6AD4301A"/>
    <w:rsid w:val="6B0357EE"/>
    <w:rsid w:val="6B0D400B"/>
    <w:rsid w:val="6B6209FC"/>
    <w:rsid w:val="6BD37588"/>
    <w:rsid w:val="6BDC5ADF"/>
    <w:rsid w:val="6BDF4773"/>
    <w:rsid w:val="6C1E48AF"/>
    <w:rsid w:val="6D236DB9"/>
    <w:rsid w:val="6DC84DAA"/>
    <w:rsid w:val="6DD808C7"/>
    <w:rsid w:val="6E2110EB"/>
    <w:rsid w:val="6E546FBC"/>
    <w:rsid w:val="6E8E0CDC"/>
    <w:rsid w:val="6EA65D51"/>
    <w:rsid w:val="6F2F4060"/>
    <w:rsid w:val="6F387273"/>
    <w:rsid w:val="6FA66787"/>
    <w:rsid w:val="70336B7B"/>
    <w:rsid w:val="72A673BD"/>
    <w:rsid w:val="72CF318F"/>
    <w:rsid w:val="72D31992"/>
    <w:rsid w:val="73B415DB"/>
    <w:rsid w:val="73FE5B51"/>
    <w:rsid w:val="74450E49"/>
    <w:rsid w:val="74A732C2"/>
    <w:rsid w:val="75142D59"/>
    <w:rsid w:val="756F60C8"/>
    <w:rsid w:val="75896C5D"/>
    <w:rsid w:val="758F0842"/>
    <w:rsid w:val="75F817F4"/>
    <w:rsid w:val="765F3CD1"/>
    <w:rsid w:val="775C05D6"/>
    <w:rsid w:val="77874963"/>
    <w:rsid w:val="778C081A"/>
    <w:rsid w:val="77F5042B"/>
    <w:rsid w:val="78A45B2C"/>
    <w:rsid w:val="78A649A1"/>
    <w:rsid w:val="7910386D"/>
    <w:rsid w:val="79312F28"/>
    <w:rsid w:val="794F177F"/>
    <w:rsid w:val="79830F14"/>
    <w:rsid w:val="79A14AFA"/>
    <w:rsid w:val="79AE611E"/>
    <w:rsid w:val="79EA6789"/>
    <w:rsid w:val="79EE6BC8"/>
    <w:rsid w:val="79F96003"/>
    <w:rsid w:val="7A1E34AC"/>
    <w:rsid w:val="7A314627"/>
    <w:rsid w:val="7B45268A"/>
    <w:rsid w:val="7B662DBB"/>
    <w:rsid w:val="7B803B98"/>
    <w:rsid w:val="7B82760F"/>
    <w:rsid w:val="7BC12F06"/>
    <w:rsid w:val="7BD7431B"/>
    <w:rsid w:val="7BE55FAA"/>
    <w:rsid w:val="7BF24CD8"/>
    <w:rsid w:val="7CCB7AE9"/>
    <w:rsid w:val="7CF73913"/>
    <w:rsid w:val="7D1333C2"/>
    <w:rsid w:val="7D1D016D"/>
    <w:rsid w:val="7E100A3F"/>
    <w:rsid w:val="7E121ADB"/>
    <w:rsid w:val="7EFA1F4A"/>
    <w:rsid w:val="7F8B7D69"/>
    <w:rsid w:val="7FF100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nhideWhenUsed="0" w:uiPriority="0" w:semiHidden="0" w:name="heading 2" w:locked="1"/>
    <w:lsdException w:qFormat="1" w:unhideWhenUsed="0" w:uiPriority="0" w:semiHidden="0" w:name="heading 3" w:locked="1"/>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uiPriority="39" w:name="toc 1" w:locked="1"/>
    <w:lsdException w:uiPriority="39" w:name="toc 2" w:locked="1"/>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iPriority="99" w:name="Normal Indent" w:locked="1"/>
    <w:lsdException w:uiPriority="99" w:name="footnote text" w:locked="1"/>
    <w:lsdException w:qFormat="1" w:unhideWhenUsed="0" w:uiPriority="99" w:semiHidden="0" w:name="annotation text"/>
    <w:lsdException w:qFormat="1" w:unhideWhenUsed="0" w:uiPriority="99" w:semiHidden="0" w:name="header"/>
    <w:lsdException w:qFormat="1" w:unhideWhenUsed="0" w:uiPriority="99" w:semiHidden="0" w:name="footer"/>
    <w:lsdException w:uiPriority="99" w:name="index heading" w:locked="1"/>
    <w:lsdException w:qFormat="1" w:uiPriority="35" w:name="caption" w:locked="1"/>
    <w:lsdException w:uiPriority="99" w:name="table of figures" w:locked="1"/>
    <w:lsdException w:uiPriority="99" w:name="envelope address" w:locked="1"/>
    <w:lsdException w:qFormat="1" w:unhideWhenUsed="0" w:uiPriority="0" w:semiHidden="0" w:name="envelope return" w:locked="1"/>
    <w:lsdException w:uiPriority="99" w:name="footnote reference" w:locked="1"/>
    <w:lsdException w:qFormat="1" w:unhideWhenUsed="0" w:uiPriority="99" w:semiHidden="0" w:name="annotation reference"/>
    <w:lsdException w:uiPriority="99" w:name="line number" w:locked="1"/>
    <w:lsdException w:qFormat="1" w:unhideWhenUsed="0" w:uiPriority="0" w:semiHidden="0" w:name="page number" w:locked="1"/>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10" w:semiHidden="0" w:name="Title" w:locked="1"/>
    <w:lsdException w:uiPriority="99" w:name="Closing" w:locked="1"/>
    <w:lsdException w:uiPriority="99" w:name="Signature" w:locked="1"/>
    <w:lsdException w:qFormat="1" w:uiPriority="1" w:name="Default Paragraph Font"/>
    <w:lsdException w:qFormat="1" w:unhideWhenUsed="0" w:uiPriority="0" w:semiHidden="0" w:name="Body Text" w:locked="1"/>
    <w:lsdException w:qFormat="1" w:unhideWhenUsed="0" w:uiPriority="0" w:semiHidden="0"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0" w:semiHidden="0" w:name="Subtitle" w:locked="1"/>
    <w:lsdException w:uiPriority="99" w:name="Salutation" w:locked="1"/>
    <w:lsdException w:uiPriority="99" w:name="Date" w:locked="1"/>
    <w:lsdException w:uiPriority="99" w:name="Body Text First Indent" w:locked="1"/>
    <w:lsdException w:qFormat="1" w:unhideWhenUsed="0" w:uiPriority="99" w:semiHidden="0" w:name="Body Text First Indent 2" w:locked="1"/>
    <w:lsdException w:uiPriority="99" w:name="Note Heading" w:locked="1"/>
    <w:lsdException w:uiPriority="99" w:name="Body Text 2" w:locked="1"/>
    <w:lsdException w:uiPriority="99" w:name="Body Text 3" w:locked="1"/>
    <w:lsdException w:qFormat="1" w:unhideWhenUsed="0" w:uiPriority="0" w:semiHidden="0" w:name="Body Text Indent 2" w:locked="1"/>
    <w:lsdException w:uiPriority="99" w:name="Body Text Indent 3" w:locked="1"/>
    <w:lsdException w:uiPriority="99" w:name="Block Text" w:locked="1"/>
    <w:lsdException w:qFormat="1" w:unhideWhenUsed="0" w:uiPriority="0" w:semiHidden="0" w:name="Hyperlink" w:locked="1"/>
    <w:lsdException w:uiPriority="99" w:name="FollowedHyperlink" w:locked="1"/>
    <w:lsdException w:qFormat="1" w:unhideWhenUsed="0" w:uiPriority="22" w:semiHidden="0" w:name="Strong" w:locked="1"/>
    <w:lsdException w:qFormat="1" w:unhideWhenUsed="0" w:uiPriority="20" w:semiHidden="0" w:name="Emphasis" w:locked="1"/>
    <w:lsdException w:qFormat="1" w:uiPriority="99" w:semiHidden="0" w:name="Document Map" w:locked="1"/>
    <w:lsdException w:qFormat="1" w:unhideWhenUsed="0" w:uiPriority="0" w:semiHidden="0" w:name="Plain Text" w:locked="1"/>
    <w:lsdException w:uiPriority="99" w:name="E-mail Signature" w:locked="1"/>
    <w:lsdException w:uiPriority="99" w:name="Normal (Web)" w:locked="1"/>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qFormat="1" w:unhideWhenUsed="0" w:uiPriority="99" w:semiHidden="0"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semiHidden="0" w:name="Balloon Text"/>
    <w:lsdException w:unhideWhenUsed="0" w:uiPriority="59" w:semiHidden="0" w:name="Table Grid" w:locked="1"/>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Calibri" w:hAnsi="Calibri" w:eastAsia="宋体" w:cs="Times New Roman"/>
      <w:kern w:val="2"/>
      <w:sz w:val="21"/>
      <w:szCs w:val="22"/>
      <w:lang w:val="en-US" w:eastAsia="zh-CN" w:bidi="ar-SA"/>
    </w:rPr>
  </w:style>
  <w:style w:type="paragraph" w:styleId="5">
    <w:name w:val="heading 1"/>
    <w:basedOn w:val="1"/>
    <w:next w:val="1"/>
    <w:autoRedefine/>
    <w:qFormat/>
    <w:locked/>
    <w:uiPriority w:val="0"/>
    <w:pPr>
      <w:keepNext/>
      <w:keepLines/>
      <w:numPr>
        <w:ilvl w:val="0"/>
        <w:numId w:val="1"/>
      </w:numPr>
      <w:spacing w:before="480" w:after="360" w:line="400" w:lineRule="exact"/>
      <w:outlineLvl w:val="0"/>
    </w:pPr>
    <w:rPr>
      <w:rFonts w:eastAsia="黑体"/>
      <w:bCs/>
      <w:kern w:val="44"/>
      <w:sz w:val="32"/>
      <w:szCs w:val="32"/>
    </w:rPr>
  </w:style>
  <w:style w:type="paragraph" w:styleId="6">
    <w:name w:val="heading 2"/>
    <w:basedOn w:val="1"/>
    <w:next w:val="1"/>
    <w:autoRedefine/>
    <w:qFormat/>
    <w:locked/>
    <w:uiPriority w:val="0"/>
    <w:pPr>
      <w:keepNext/>
      <w:keepLines/>
      <w:spacing w:before="480" w:after="120" w:line="400" w:lineRule="exact"/>
      <w:outlineLvl w:val="1"/>
    </w:pPr>
    <w:rPr>
      <w:rFonts w:ascii="Arial" w:hAnsi="Arial" w:eastAsia="黑体"/>
      <w:bCs/>
      <w:sz w:val="28"/>
      <w:szCs w:val="28"/>
    </w:rPr>
  </w:style>
  <w:style w:type="paragraph" w:styleId="7">
    <w:name w:val="heading 3"/>
    <w:basedOn w:val="1"/>
    <w:next w:val="1"/>
    <w:autoRedefine/>
    <w:qFormat/>
    <w:locked/>
    <w:uiPriority w:val="0"/>
    <w:pPr>
      <w:keepNext/>
      <w:keepLines/>
      <w:adjustRightInd w:val="0"/>
      <w:spacing w:before="240" w:after="120" w:line="400" w:lineRule="exact"/>
      <w:ind w:left="900" w:hanging="900"/>
      <w:outlineLvl w:val="2"/>
    </w:pPr>
    <w:rPr>
      <w:rFonts w:eastAsia="黑体"/>
      <w:bCs/>
      <w:sz w:val="24"/>
    </w:rPr>
  </w:style>
  <w:style w:type="character" w:default="1" w:styleId="19">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autoRedefine/>
    <w:qFormat/>
    <w:locked/>
    <w:uiPriority w:val="99"/>
    <w:pPr>
      <w:spacing w:line="240" w:lineRule="exact"/>
      <w:ind w:firstLine="562" w:firstLineChars="200"/>
    </w:pPr>
  </w:style>
  <w:style w:type="paragraph" w:styleId="3">
    <w:name w:val="Body Text Indent"/>
    <w:basedOn w:val="1"/>
    <w:next w:val="4"/>
    <w:autoRedefine/>
    <w:qFormat/>
    <w:locked/>
    <w:uiPriority w:val="0"/>
    <w:pPr>
      <w:ind w:firstLine="630"/>
    </w:pPr>
    <w:rPr>
      <w:sz w:val="32"/>
      <w:szCs w:val="20"/>
    </w:rPr>
  </w:style>
  <w:style w:type="paragraph" w:styleId="4">
    <w:name w:val="envelope return"/>
    <w:basedOn w:val="1"/>
    <w:autoRedefine/>
    <w:qFormat/>
    <w:locked/>
    <w:uiPriority w:val="0"/>
  </w:style>
  <w:style w:type="paragraph" w:styleId="8">
    <w:name w:val="Document Map"/>
    <w:basedOn w:val="1"/>
    <w:link w:val="26"/>
    <w:autoRedefine/>
    <w:unhideWhenUsed/>
    <w:qFormat/>
    <w:locked/>
    <w:uiPriority w:val="99"/>
    <w:rPr>
      <w:rFonts w:ascii="宋体"/>
      <w:sz w:val="18"/>
      <w:szCs w:val="18"/>
    </w:rPr>
  </w:style>
  <w:style w:type="paragraph" w:styleId="9">
    <w:name w:val="annotation text"/>
    <w:basedOn w:val="1"/>
    <w:link w:val="28"/>
    <w:autoRedefine/>
    <w:qFormat/>
    <w:uiPriority w:val="99"/>
    <w:pPr>
      <w:jc w:val="left"/>
    </w:pPr>
    <w:rPr>
      <w:rFonts w:ascii="Times New Roman" w:hAnsi="Times New Roman"/>
      <w:sz w:val="22"/>
    </w:rPr>
  </w:style>
  <w:style w:type="paragraph" w:styleId="10">
    <w:name w:val="Body Text"/>
    <w:basedOn w:val="1"/>
    <w:next w:val="11"/>
    <w:autoRedefine/>
    <w:qFormat/>
    <w:locked/>
    <w:uiPriority w:val="0"/>
    <w:pPr>
      <w:spacing w:after="120"/>
    </w:pPr>
  </w:style>
  <w:style w:type="paragraph" w:styleId="11">
    <w:name w:val="Subtitle"/>
    <w:basedOn w:val="1"/>
    <w:next w:val="1"/>
    <w:autoRedefine/>
    <w:qFormat/>
    <w:locked/>
    <w:uiPriority w:val="0"/>
    <w:pPr>
      <w:spacing w:before="240" w:after="60" w:line="312" w:lineRule="auto"/>
      <w:jc w:val="center"/>
      <w:outlineLvl w:val="1"/>
    </w:pPr>
    <w:rPr>
      <w:rFonts w:ascii="Cambria" w:hAnsi="Cambria"/>
      <w:b/>
      <w:bCs/>
      <w:kern w:val="28"/>
      <w:sz w:val="32"/>
      <w:szCs w:val="32"/>
    </w:rPr>
  </w:style>
  <w:style w:type="paragraph" w:styleId="12">
    <w:name w:val="Plain Text"/>
    <w:basedOn w:val="1"/>
    <w:autoRedefine/>
    <w:qFormat/>
    <w:locked/>
    <w:uiPriority w:val="0"/>
    <w:rPr>
      <w:rFonts w:ascii="宋体" w:hAnsi="Courier New" w:cs="Courier New"/>
      <w:szCs w:val="21"/>
    </w:rPr>
  </w:style>
  <w:style w:type="paragraph" w:styleId="13">
    <w:name w:val="Body Text Indent 2"/>
    <w:basedOn w:val="1"/>
    <w:autoRedefine/>
    <w:qFormat/>
    <w:locked/>
    <w:uiPriority w:val="0"/>
    <w:pPr>
      <w:spacing w:line="440" w:lineRule="atLeast"/>
      <w:ind w:firstLine="720" w:firstLineChars="300"/>
    </w:pPr>
    <w:rPr>
      <w:rFonts w:ascii="宋体" w:hAnsi="宋体"/>
      <w:sz w:val="24"/>
    </w:rPr>
  </w:style>
  <w:style w:type="paragraph" w:styleId="14">
    <w:name w:val="Balloon Text"/>
    <w:basedOn w:val="1"/>
    <w:link w:val="25"/>
    <w:autoRedefine/>
    <w:qFormat/>
    <w:uiPriority w:val="99"/>
    <w:rPr>
      <w:rFonts w:ascii="Times New Roman" w:hAnsi="Times New Roman"/>
      <w:sz w:val="18"/>
      <w:szCs w:val="18"/>
    </w:rPr>
  </w:style>
  <w:style w:type="paragraph" w:styleId="15">
    <w:name w:val="footer"/>
    <w:basedOn w:val="1"/>
    <w:link w:val="23"/>
    <w:autoRedefine/>
    <w:qFormat/>
    <w:uiPriority w:val="99"/>
    <w:pPr>
      <w:tabs>
        <w:tab w:val="center" w:pos="4153"/>
        <w:tab w:val="right" w:pos="8306"/>
      </w:tabs>
      <w:snapToGrid w:val="0"/>
      <w:jc w:val="left"/>
    </w:pPr>
    <w:rPr>
      <w:rFonts w:ascii="Times New Roman" w:hAnsi="Times New Roman"/>
      <w:kern w:val="0"/>
      <w:sz w:val="18"/>
      <w:szCs w:val="18"/>
    </w:rPr>
  </w:style>
  <w:style w:type="paragraph" w:styleId="16">
    <w:name w:val="header"/>
    <w:basedOn w:val="1"/>
    <w:link w:val="29"/>
    <w:autoRedefine/>
    <w:qFormat/>
    <w:uiPriority w:val="99"/>
    <w:pPr>
      <w:pBdr>
        <w:bottom w:val="single" w:color="auto" w:sz="6" w:space="1"/>
      </w:pBdr>
      <w:tabs>
        <w:tab w:val="center" w:pos="4153"/>
        <w:tab w:val="right" w:pos="8306"/>
      </w:tabs>
      <w:snapToGrid w:val="0"/>
      <w:jc w:val="center"/>
    </w:pPr>
    <w:rPr>
      <w:rFonts w:ascii="Times New Roman" w:hAnsi="Times New Roman"/>
      <w:kern w:val="0"/>
      <w:sz w:val="18"/>
      <w:szCs w:val="18"/>
    </w:rPr>
  </w:style>
  <w:style w:type="paragraph" w:styleId="17">
    <w:name w:val="annotation subject"/>
    <w:basedOn w:val="9"/>
    <w:next w:val="9"/>
    <w:link w:val="27"/>
    <w:autoRedefine/>
    <w:qFormat/>
    <w:uiPriority w:val="99"/>
    <w:rPr>
      <w:b/>
      <w:bCs/>
    </w:rPr>
  </w:style>
  <w:style w:type="character" w:styleId="20">
    <w:name w:val="page number"/>
    <w:basedOn w:val="19"/>
    <w:qFormat/>
    <w:locked/>
    <w:uiPriority w:val="0"/>
  </w:style>
  <w:style w:type="character" w:styleId="21">
    <w:name w:val="Hyperlink"/>
    <w:basedOn w:val="19"/>
    <w:qFormat/>
    <w:locked/>
    <w:uiPriority w:val="0"/>
    <w:rPr>
      <w:color w:val="0000FF"/>
      <w:u w:val="single"/>
    </w:rPr>
  </w:style>
  <w:style w:type="character" w:styleId="22">
    <w:name w:val="annotation reference"/>
    <w:autoRedefine/>
    <w:qFormat/>
    <w:uiPriority w:val="99"/>
    <w:rPr>
      <w:rFonts w:cs="Times New Roman"/>
      <w:sz w:val="21"/>
      <w:szCs w:val="21"/>
    </w:rPr>
  </w:style>
  <w:style w:type="character" w:customStyle="1" w:styleId="23">
    <w:name w:val="页脚 字符"/>
    <w:link w:val="15"/>
    <w:autoRedefine/>
    <w:qFormat/>
    <w:locked/>
    <w:uiPriority w:val="99"/>
    <w:rPr>
      <w:rFonts w:cs="Times New Roman"/>
      <w:sz w:val="18"/>
      <w:szCs w:val="18"/>
    </w:rPr>
  </w:style>
  <w:style w:type="character" w:customStyle="1" w:styleId="24">
    <w:name w:val="font11"/>
    <w:autoRedefine/>
    <w:qFormat/>
    <w:uiPriority w:val="0"/>
    <w:rPr>
      <w:rFonts w:hint="eastAsia" w:ascii="仿宋_GB2312" w:eastAsia="仿宋_GB2312" w:cs="仿宋_GB2312"/>
      <w:color w:val="000000"/>
      <w:sz w:val="24"/>
      <w:szCs w:val="24"/>
      <w:u w:val="none"/>
    </w:rPr>
  </w:style>
  <w:style w:type="character" w:customStyle="1" w:styleId="25">
    <w:name w:val="批注框文本 字符"/>
    <w:link w:val="14"/>
    <w:autoRedefine/>
    <w:semiHidden/>
    <w:qFormat/>
    <w:locked/>
    <w:uiPriority w:val="99"/>
    <w:rPr>
      <w:rFonts w:cs="Times New Roman"/>
      <w:kern w:val="2"/>
      <w:sz w:val="18"/>
      <w:szCs w:val="18"/>
    </w:rPr>
  </w:style>
  <w:style w:type="character" w:customStyle="1" w:styleId="26">
    <w:name w:val="文档结构图 字符"/>
    <w:link w:val="8"/>
    <w:autoRedefine/>
    <w:semiHidden/>
    <w:qFormat/>
    <w:uiPriority w:val="99"/>
    <w:rPr>
      <w:rFonts w:ascii="宋体" w:hAnsi="Calibri"/>
      <w:kern w:val="2"/>
      <w:sz w:val="18"/>
      <w:szCs w:val="18"/>
    </w:rPr>
  </w:style>
  <w:style w:type="character" w:customStyle="1" w:styleId="27">
    <w:name w:val="批注主题 字符"/>
    <w:link w:val="17"/>
    <w:autoRedefine/>
    <w:semiHidden/>
    <w:qFormat/>
    <w:locked/>
    <w:uiPriority w:val="99"/>
    <w:rPr>
      <w:rFonts w:cs="Times New Roman"/>
      <w:b/>
      <w:bCs/>
      <w:kern w:val="2"/>
      <w:sz w:val="22"/>
      <w:szCs w:val="22"/>
    </w:rPr>
  </w:style>
  <w:style w:type="character" w:customStyle="1" w:styleId="28">
    <w:name w:val="批注文字 字符"/>
    <w:link w:val="9"/>
    <w:autoRedefine/>
    <w:qFormat/>
    <w:locked/>
    <w:uiPriority w:val="99"/>
    <w:rPr>
      <w:rFonts w:cs="Times New Roman"/>
      <w:kern w:val="2"/>
      <w:sz w:val="22"/>
      <w:szCs w:val="22"/>
    </w:rPr>
  </w:style>
  <w:style w:type="character" w:customStyle="1" w:styleId="29">
    <w:name w:val="页眉 字符"/>
    <w:link w:val="16"/>
    <w:autoRedefine/>
    <w:qFormat/>
    <w:locked/>
    <w:uiPriority w:val="99"/>
    <w:rPr>
      <w:rFonts w:cs="Times New Roman"/>
      <w:sz w:val="18"/>
      <w:szCs w:val="18"/>
    </w:rPr>
  </w:style>
  <w:style w:type="paragraph" w:customStyle="1" w:styleId="30">
    <w:name w:val="正文（绿盟科技）"/>
    <w:autoRedefine/>
    <w:qFormat/>
    <w:uiPriority w:val="0"/>
    <w:pPr>
      <w:spacing w:line="300" w:lineRule="auto"/>
    </w:pPr>
    <w:rPr>
      <w:rFonts w:ascii="Arial" w:hAnsi="Arial" w:eastAsia="宋体" w:cs="黑体"/>
      <w:sz w:val="21"/>
      <w:szCs w:val="21"/>
      <w:lang w:val="en-US" w:eastAsia="zh-CN" w:bidi="ar-SA"/>
    </w:rPr>
  </w:style>
  <w:style w:type="paragraph" w:customStyle="1" w:styleId="31">
    <w:name w:val="p0"/>
    <w:basedOn w:val="1"/>
    <w:autoRedefine/>
    <w:qFormat/>
    <w:uiPriority w:val="0"/>
    <w:pPr>
      <w:widowControl/>
      <w:snapToGrid w:val="0"/>
      <w:spacing w:before="120" w:after="120" w:line="500" w:lineRule="atLeast"/>
      <w:ind w:firstLine="420"/>
    </w:pPr>
    <w:rPr>
      <w:rFonts w:ascii="Arial" w:hAnsi="Arial" w:cs="Arial"/>
      <w:kern w:val="0"/>
      <w:sz w:val="28"/>
      <w:szCs w:val="28"/>
    </w:rPr>
  </w:style>
  <w:style w:type="paragraph" w:customStyle="1" w:styleId="32">
    <w:name w:val="标题 5（有编号）（绿盟科技）"/>
    <w:basedOn w:val="1"/>
    <w:next w:val="30"/>
    <w:autoRedefine/>
    <w:qFormat/>
    <w:uiPriority w:val="0"/>
    <w:pPr>
      <w:keepNext/>
      <w:keepLines/>
      <w:numPr>
        <w:ilvl w:val="4"/>
        <w:numId w:val="2"/>
      </w:numPr>
      <w:spacing w:before="280" w:after="156" w:line="377" w:lineRule="auto"/>
      <w:jc w:val="left"/>
      <w:outlineLvl w:val="4"/>
    </w:pPr>
    <w:rPr>
      <w:rFonts w:ascii="Arial" w:hAnsi="Arial" w:eastAsia="黑体"/>
      <w:b/>
      <w:kern w:val="0"/>
      <w:sz w:val="24"/>
      <w:szCs w:val="28"/>
    </w:rPr>
  </w:style>
  <w:style w:type="paragraph" w:customStyle="1" w:styleId="33">
    <w:name w:val="正文目录 + 首行缩进:  2 字符 + 首行缩进:  2 字符 + 首行缩进:  2 字符"/>
    <w:basedOn w:val="1"/>
    <w:autoRedefine/>
    <w:qFormat/>
    <w:uiPriority w:val="0"/>
    <w:pPr>
      <w:spacing w:line="360" w:lineRule="auto"/>
      <w:jc w:val="center"/>
    </w:pPr>
    <w:rPr>
      <w:rFonts w:ascii="仿宋_GB2312" w:hAnsi="宋体" w:eastAsia="仿宋_GB2312" w:cs="宋体"/>
      <w:b/>
      <w:kern w:val="0"/>
      <w:sz w:val="36"/>
      <w:szCs w:val="20"/>
    </w:rPr>
  </w:style>
  <w:style w:type="paragraph" w:customStyle="1" w:styleId="34">
    <w:name w:val="修订1"/>
    <w:autoRedefine/>
    <w:unhideWhenUsed/>
    <w:qFormat/>
    <w:uiPriority w:val="99"/>
    <w:rPr>
      <w:rFonts w:ascii="Calibri" w:hAnsi="Calibri" w:eastAsia="宋体" w:cs="Times New Roman"/>
      <w:kern w:val="2"/>
      <w:sz w:val="21"/>
      <w:szCs w:val="22"/>
      <w:lang w:val="en-US" w:eastAsia="zh-CN" w:bidi="ar-SA"/>
    </w:rPr>
  </w:style>
  <w:style w:type="paragraph" w:customStyle="1" w:styleId="35">
    <w:name w:val="样式 正文 + 首行缩进:  2 字符 Char"/>
    <w:basedOn w:val="1"/>
    <w:autoRedefine/>
    <w:qFormat/>
    <w:uiPriority w:val="0"/>
    <w:pPr>
      <w:spacing w:line="360" w:lineRule="auto"/>
      <w:ind w:firstLine="200" w:firstLineChars="200"/>
    </w:pPr>
    <w:rPr>
      <w:rFonts w:ascii="仿宋_GB2312" w:hAnsi="宋体" w:eastAsia="仿宋_GB2312" w:cs="宋体"/>
      <w:kern w:val="0"/>
      <w:sz w:val="24"/>
      <w:szCs w:val="20"/>
    </w:rPr>
  </w:style>
  <w:style w:type="paragraph" w:customStyle="1" w:styleId="36">
    <w:name w:val="列出段落1"/>
    <w:basedOn w:val="1"/>
    <w:autoRedefine/>
    <w:qFormat/>
    <w:uiPriority w:val="99"/>
    <w:pPr>
      <w:ind w:firstLine="420" w:firstLineChars="200"/>
    </w:pPr>
  </w:style>
  <w:style w:type="paragraph" w:customStyle="1" w:styleId="37">
    <w:name w:val="列出段落2"/>
    <w:basedOn w:val="1"/>
    <w:autoRedefine/>
    <w:unhideWhenUsed/>
    <w:qFormat/>
    <w:uiPriority w:val="99"/>
    <w:pPr>
      <w:ind w:firstLine="420" w:firstLineChars="200"/>
    </w:pPr>
    <w:rPr>
      <w:rFonts w:ascii="Times New Roman" w:hAnsi="Times New Roman"/>
      <w:szCs w:val="24"/>
    </w:rPr>
  </w:style>
  <w:style w:type="paragraph" w:customStyle="1" w:styleId="38">
    <w:name w:val="Index8"/>
    <w:basedOn w:val="1"/>
    <w:next w:val="1"/>
    <w:autoRedefine/>
    <w:qFormat/>
    <w:uiPriority w:val="0"/>
    <w:pPr>
      <w:ind w:left="3920" w:leftChars="1400"/>
      <w:jc w:val="left"/>
      <w:textAlignment w:val="baseline"/>
    </w:pPr>
  </w:style>
  <w:style w:type="paragraph" w:styleId="39">
    <w:name w:val="List Paragraph"/>
    <w:basedOn w:val="1"/>
    <w:autoRedefine/>
    <w:qFormat/>
    <w:uiPriority w:val="99"/>
    <w:pPr>
      <w:ind w:firstLine="420" w:firstLineChars="200"/>
    </w:pPr>
  </w:style>
  <w:style w:type="character" w:customStyle="1" w:styleId="40">
    <w:name w:val="font31"/>
    <w:basedOn w:val="19"/>
    <w:qFormat/>
    <w:uiPriority w:val="0"/>
    <w:rPr>
      <w:rFonts w:hint="eastAsia"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4</Pages>
  <Words>1743</Words>
  <Characters>1812</Characters>
  <Lines>38</Lines>
  <Paragraphs>10</Paragraphs>
  <TotalTime>42</TotalTime>
  <ScaleCrop>false</ScaleCrop>
  <LinksUpToDate>false</LinksUpToDate>
  <CharactersWithSpaces>1827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2024-04-13T10:07:00Z</dcterms:created>
  <dc:creator>梁磊</dc:creator>
  <cp:lastModifiedBy>春子</cp:lastModifiedBy>
  <cp:lastPrinted>2022-11-03T04:09:00Z</cp:lastPrinted>
  <dcterms:modified xsi:type="dcterms:W3CDTF">2026-08-07T07:22:30Z</dcterms:modified>
  <dc:title>四川发展xxxxx公司关于</dc:title>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2CD07C43B84D49B297FB844A43806A0C_13</vt:lpwstr>
  </property>
  <property fmtid="{D5CDD505-2E9C-101B-9397-08002B2CF9AE}" pid="4" name="KSOTemplateDocerSaveRecord">
    <vt:lpwstr>eyJoZGlkIjoiNTRjNjljZGMxODZlOTg2YWUzYjM5MDQzYjk0NzUyZjciLCJ1c2VySWQiOiIyNDUwOTA4ODgifQ==</vt:lpwstr>
  </property>
</Properties>
</file>